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pPr w:vertAnchor="text" w:horzAnchor="page" w:leftFromText="180" w:rightFromText="180" w:tblpX="4108" w:tblpY="-352"/>
        <w:tblW w:w="7669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69"/>
      </w:tblGrid>
      <w:tr>
        <w:trPr/>
        <w:tc>
          <w:tcPr>
            <w:tcW w:w="766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Методичною радою</w:t>
            </w:r>
          </w:p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від 26.02.2020</w:t>
            </w:r>
          </w:p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(протокол №5)</w:t>
            </w:r>
          </w:p>
        </w:tc>
      </w:tr>
      <w:tr>
        <w:trPr/>
        <w:tc>
          <w:tcPr>
            <w:tcW w:w="766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навчальної </w:t>
            </w:r>
            <w:r>
              <w:rPr>
                <w:rFonts w:ascii="Times New Roman" w:hAnsi="Times New Roman"/>
                <w:sz w:val="28"/>
                <w:szCs w:val="28"/>
              </w:rPr>
              <w:t>дисципліни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ascii="Times New Roman" w:hAnsi="Times New Roman"/>
                <w:color w:val="1E64C9"/>
                <w:sz w:val="28"/>
                <w:szCs w:val="28"/>
              </w:rPr>
              <w:t>Конфліктологія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2023-2024 навчальний рік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/>
        <w:drawing>
          <wp:inline distT="0" distB="0" distL="0" distR="0">
            <wp:extent cx="1478280" cy="84582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280" cy="84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Освітньо-професійна програма: Середня освіта (математика).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Спеціальність: 014.04 Середня освіта (Математика).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Галузь знань: </w:t>
      </w:r>
      <w:r>
        <w:rPr>
          <w:rFonts w:ascii="Times New Roman" w:hAnsi="Times New Roman"/>
          <w:sz w:val="28"/>
          <w:szCs w:val="28"/>
          <w:shd w:fill="auto" w:val="clear"/>
        </w:rPr>
        <w:t>01 Освіта/Педагогіка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Рівень вищої освіти: перший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tbl>
      <w:tblPr>
        <w:tblW w:w="9904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76"/>
        <w:gridCol w:w="7127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sz w:val="28"/>
                <w:szCs w:val="28"/>
              </w:rPr>
              <w:t>Викладач</w:t>
            </w:r>
          </w:p>
        </w:tc>
        <w:tc>
          <w:tcPr>
            <w:tcW w:w="7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Ірина ЧЕРЕЗОВА</w:t>
            </w:r>
          </w:p>
        </w:tc>
      </w:tr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7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 w:val="false"/>
                <w:i w:val="false"/>
                <w:caps w:val="false"/>
                <w:smallCaps w:val="false"/>
                <w:color w:val="202124"/>
                <w:spacing w:val="0"/>
                <w:sz w:val="28"/>
                <w:szCs w:val="28"/>
              </w:rPr>
              <w:t>bdpu.org.ua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http://bdpu.org/faculties/fppom/structure-fppom/kaf-psihologiya/</w:t>
            </w:r>
          </w:p>
        </w:tc>
      </w:tr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7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0665134464</w:t>
            </w:r>
          </w:p>
        </w:tc>
      </w:tr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color w:val="000000"/>
                <w:sz w:val="28"/>
                <w:szCs w:val="28"/>
              </w:rPr>
              <w:t>E-mail викладача:</w:t>
            </w:r>
          </w:p>
        </w:tc>
        <w:tc>
          <w:tcPr>
            <w:tcW w:w="7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  <w:lang w:val="en-US"/>
              </w:rPr>
              <w:t>irina.cherezova69@gmail.com</w:t>
            </w:r>
          </w:p>
        </w:tc>
      </w:tr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7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Індивідуальний</w:t>
            </w:r>
          </w:p>
        </w:tc>
      </w:tr>
    </w:tbl>
    <w:p>
      <w:pPr>
        <w:pStyle w:val="Normal"/>
        <w:spacing w:lineRule="auto" w:line="240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ListParagraph"/>
        <w:spacing w:lineRule="auto" w:line="240" w:before="0" w:after="0"/>
        <w:ind w:left="0" w:hanging="0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</w:t>
      </w:r>
      <w:r>
        <w:rPr>
          <w:rFonts w:ascii="Times New Roman" w:hAnsi="Times New Roman"/>
          <w:b/>
          <w:sz w:val="28"/>
          <w:szCs w:val="28"/>
        </w:rPr>
        <w:t>:</w:t>
      </w:r>
    </w:p>
    <w:tbl>
      <w:tblPr>
        <w:tblW w:w="9634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926"/>
        <w:gridCol w:w="1927"/>
        <w:gridCol w:w="1927"/>
        <w:gridCol w:w="1927"/>
        <w:gridCol w:w="1927"/>
      </w:tblGrid>
      <w:tr>
        <w:trPr>
          <w:trHeight w:val="397" w:hRule="atLeast"/>
        </w:trPr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>
        <w:trPr>
          <w:trHeight w:val="397" w:hRule="atLeast"/>
        </w:trPr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3/90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66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залік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Семестр:</w:t>
      </w:r>
      <w:r>
        <w:rPr>
          <w:rFonts w:ascii="Times New Roman" w:hAnsi="Times New Roman"/>
          <w:sz w:val="28"/>
          <w:szCs w:val="28"/>
        </w:rPr>
        <w:t xml:space="preserve"> весняний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Мова навчання:</w:t>
      </w:r>
      <w:r>
        <w:rPr>
          <w:rFonts w:ascii="Times New Roman" w:hAnsi="Times New Roman"/>
          <w:sz w:val="28"/>
          <w:szCs w:val="28"/>
        </w:rPr>
        <w:t xml:space="preserve"> українська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Ключові слова:</w:t>
      </w:r>
      <w:r>
        <w:rPr>
          <w:rFonts w:ascii="Times New Roman" w:hAnsi="Times New Roman"/>
          <w:sz w:val="28"/>
          <w:szCs w:val="28"/>
        </w:rPr>
        <w:t xml:space="preserve"> конфлікт, конфліктна ситуація, структура конфлікту, динаміка конфлікту, види конфліктів, профілактика конфліктів, управління конфліктами.</w:t>
      </w:r>
    </w:p>
    <w:p>
      <w:pPr>
        <w:pStyle w:val="ListParagraph"/>
        <w:spacing w:lineRule="auto" w:line="240" w:before="0" w:after="0"/>
        <w:ind w:left="0" w:hanging="0"/>
        <w:contextualSpacing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Мета та предмет курсу: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/>
      </w:pPr>
      <w:r>
        <w:rPr>
          <w:rStyle w:val="FontStyle29"/>
          <w:rFonts w:ascii="Times New Roman" w:hAnsi="Times New Roman"/>
          <w:b/>
          <w:i/>
          <w:sz w:val="28"/>
          <w:szCs w:val="28"/>
          <w:lang w:val="uk-UA" w:eastAsia="uk-UA"/>
        </w:rPr>
        <w:t>Метою</w:t>
      </w:r>
      <w:r>
        <w:rPr>
          <w:rStyle w:val="FontStyle29"/>
          <w:rFonts w:ascii="Times New Roman" w:hAnsi="Times New Roman"/>
          <w:sz w:val="28"/>
          <w:szCs w:val="28"/>
          <w:lang w:val="uk-UA" w:eastAsia="uk-UA"/>
        </w:rPr>
        <w:t xml:space="preserve"> викладання навчальної дисципліни «Конфліктологія»</w:t>
      </w:r>
      <w:r>
        <w:rPr>
          <w:rStyle w:val="FontStyle31"/>
          <w:rFonts w:ascii="Times New Roman" w:hAnsi="Times New Roman"/>
          <w:sz w:val="28"/>
          <w:szCs w:val="28"/>
          <w:lang w:val="uk-UA" w:eastAsia="uk-UA"/>
        </w:rPr>
        <w:t xml:space="preserve"> </w:t>
      </w:r>
      <w:r>
        <w:rPr>
          <w:rStyle w:val="FontStyle29"/>
          <w:rFonts w:ascii="Times New Roman" w:hAnsi="Times New Roman"/>
          <w:sz w:val="28"/>
          <w:szCs w:val="28"/>
          <w:lang w:val="uk-UA" w:eastAsia="uk-UA"/>
        </w:rPr>
        <w:t>є</w:t>
      </w:r>
      <w:r>
        <w:rPr>
          <w:rFonts w:ascii="Times New Roman" w:hAnsi="Times New Roman"/>
          <w:sz w:val="28"/>
          <w:szCs w:val="28"/>
          <w:lang w:val="uk-UA"/>
        </w:rPr>
        <w:t>: забезпечити загальну теоретичну та практичну підготовку здобувачів вищої освіти у галузі конфліктології.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/>
      </w:pPr>
      <w:r>
        <w:rPr>
          <w:rFonts w:ascii="Times New Roman" w:hAnsi="Times New Roman"/>
          <w:b/>
          <w:i/>
          <w:sz w:val="28"/>
          <w:szCs w:val="28"/>
          <w:lang w:val="uk-UA"/>
        </w:rPr>
        <w:t>Предмет</w:t>
      </w:r>
      <w:r>
        <w:rPr>
          <w:rStyle w:val="FontStyle29"/>
          <w:rFonts w:ascii="Times New Roman" w:hAnsi="Times New Roman"/>
          <w:b/>
          <w:i/>
          <w:sz w:val="28"/>
          <w:szCs w:val="28"/>
          <w:lang w:val="uk-UA" w:eastAsia="uk-UA"/>
        </w:rPr>
        <w:t>ом</w:t>
      </w:r>
      <w:r>
        <w:rPr>
          <w:rStyle w:val="FontStyle29"/>
          <w:rFonts w:ascii="Times New Roman" w:hAnsi="Times New Roman"/>
          <w:sz w:val="28"/>
          <w:szCs w:val="28"/>
          <w:lang w:val="uk-UA" w:eastAsia="uk-UA"/>
        </w:rPr>
        <w:t xml:space="preserve"> навчальної дисципліни «Конфліктологія» є загальні закономірності виникнення розвитку та розв’язання конфліктів, а також керування конфліктами.</w:t>
      </w:r>
    </w:p>
    <w:p>
      <w:pPr>
        <w:pStyle w:val="ListParagraph"/>
        <w:spacing w:lineRule="auto" w:line="240" w:before="0" w:after="0"/>
        <w:ind w:left="0" w:hanging="0"/>
        <w:contextualSpacing/>
        <w:rPr>
          <w:rFonts w:ascii="Times New Roman" w:hAnsi="Times New Roman"/>
          <w:b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</w:r>
      <w:bookmarkStart w:id="0" w:name="_GoBack"/>
      <w:bookmarkStart w:id="1" w:name="_GoBack"/>
      <w:bookmarkEnd w:id="1"/>
    </w:p>
    <w:p>
      <w:pPr>
        <w:pStyle w:val="ListParagraph"/>
        <w:spacing w:lineRule="auto" w:line="240" w:before="0" w:after="0"/>
        <w:ind w:left="0" w:hanging="0"/>
        <w:contextualSpacing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Компетентності та програмні результати навчання</w:t>
      </w:r>
    </w:p>
    <w:p>
      <w:pPr>
        <w:pStyle w:val="Style191"/>
        <w:widowControl/>
        <w:spacing w:lineRule="auto" w:line="240"/>
        <w:jc w:val="both"/>
        <w:rPr>
          <w:rFonts w:ascii="Times New Roman" w:hAnsi="Times New Roman"/>
          <w:sz w:val="28"/>
          <w:szCs w:val="28"/>
        </w:rPr>
      </w:pPr>
      <w:r>
        <w:rPr>
          <w:sz w:val="28"/>
          <w:szCs w:val="28"/>
        </w:rPr>
      </w:r>
    </w:p>
    <w:tbl>
      <w:tblPr>
        <w:tblW w:w="10635" w:type="dxa"/>
        <w:jc w:val="left"/>
        <w:tblInd w:w="-953" w:type="dxa"/>
        <w:tblLayout w:type="fixed"/>
        <w:tblCellMar>
          <w:top w:w="0" w:type="dxa"/>
          <w:left w:w="40" w:type="dxa"/>
          <w:bottom w:w="0" w:type="dxa"/>
          <w:right w:w="40" w:type="dxa"/>
        </w:tblCellMar>
        <w:tblLook w:firstRow="1" w:noVBand="1" w:lastRow="0" w:firstColumn="1" w:lastColumn="0" w:noHBand="0" w:val="04a0"/>
      </w:tblPr>
      <w:tblGrid>
        <w:gridCol w:w="426"/>
        <w:gridCol w:w="1842"/>
        <w:gridCol w:w="3257"/>
        <w:gridCol w:w="5109"/>
      </w:tblGrid>
      <w:tr>
        <w:trPr>
          <w:trHeight w:val="1007" w:hRule="exact"/>
        </w:trPr>
        <w:tc>
          <w:tcPr>
            <w:tcW w:w="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№ 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з/п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46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Програмні компетентності</w:t>
            </w:r>
          </w:p>
        </w:tc>
        <w:tc>
          <w:tcPr>
            <w:tcW w:w="32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Компетенції</w:t>
            </w:r>
          </w:p>
        </w:tc>
        <w:tc>
          <w:tcPr>
            <w:tcW w:w="5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Програмні результати навчання</w:t>
            </w:r>
          </w:p>
        </w:tc>
      </w:tr>
      <w:tr>
        <w:trPr>
          <w:trHeight w:val="12864" w:hRule="exact"/>
        </w:trPr>
        <w:tc>
          <w:tcPr>
            <w:tcW w:w="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6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i/>
                <w:spacing w:val="-16"/>
                <w:sz w:val="28"/>
                <w:szCs w:val="28"/>
              </w:rPr>
              <w:t>Фахові компетентності (ФК)</w:t>
            </w:r>
          </w:p>
          <w:p>
            <w:pPr>
              <w:pStyle w:val="Normal"/>
              <w:widowControl w:val="false"/>
              <w:spacing w:lineRule="auto" w:line="240" w:before="0" w:after="160"/>
              <w:jc w:val="both"/>
              <w:rPr>
                <w:rFonts w:ascii="Times New Roman" w:hAnsi="Times New Roman"/>
                <w:spacing w:val="-16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pacing w:val="-16"/>
                <w:sz w:val="28"/>
                <w:szCs w:val="28"/>
                <w:lang w:eastAsia="ru-RU"/>
              </w:rPr>
            </w:r>
          </w:p>
        </w:tc>
        <w:tc>
          <w:tcPr>
            <w:tcW w:w="325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Web"/>
              <w:widowControl w:val="false"/>
              <w:spacing w:lineRule="auto" w:line="240" w:beforeAutospacing="0" w:before="0" w:afterAutospacing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b/>
                <w:bCs/>
                <w:spacing w:val="-16"/>
                <w:sz w:val="28"/>
                <w:szCs w:val="28"/>
                <w:lang w:val="uk-UA"/>
              </w:rPr>
              <w:t>ФК-1.</w:t>
            </w:r>
            <w:r>
              <w:rPr>
                <w:b w:val="false"/>
                <w:bCs w:val="false"/>
                <w:spacing w:val="-16"/>
                <w:sz w:val="28"/>
                <w:szCs w:val="28"/>
                <w:lang w:val="uk-UA"/>
              </w:rPr>
              <w:t xml:space="preserve"> Здатність усвідомлювати соціальну значущість своєї майбутньої професії, володіти мотивацією до здійснення професійної діяльності;</w:t>
            </w:r>
          </w:p>
          <w:p>
            <w:pPr>
              <w:pStyle w:val="NormalWeb"/>
              <w:widowControl w:val="false"/>
              <w:spacing w:lineRule="auto" w:line="240" w:beforeAutospacing="0" w:before="0" w:afterAutospacing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b/>
                <w:bCs/>
                <w:spacing w:val="-16"/>
                <w:sz w:val="28"/>
                <w:szCs w:val="28"/>
                <w:lang w:val="uk-UA"/>
              </w:rPr>
              <w:t>ФК-2.</w:t>
            </w:r>
            <w:r>
              <w:rPr>
                <w:b w:val="false"/>
                <w:bCs w:val="false"/>
                <w:spacing w:val="-16"/>
                <w:sz w:val="28"/>
                <w:szCs w:val="28"/>
                <w:lang w:val="uk-UA"/>
              </w:rPr>
              <w:t xml:space="preserve"> Здатність застосовувати на практиці знання з фундаментальних, соціальних і прикладних наук, сучасні методики та технології з метою формування в учнів предметних компетентностей;</w:t>
            </w:r>
          </w:p>
          <w:p>
            <w:pPr>
              <w:pStyle w:val="NormalWeb"/>
              <w:widowControl w:val="false"/>
              <w:spacing w:lineRule="auto" w:line="240" w:beforeAutospacing="0" w:before="0" w:afterAutospacing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b/>
                <w:bCs/>
                <w:spacing w:val="-16"/>
                <w:sz w:val="28"/>
                <w:szCs w:val="28"/>
                <w:lang w:val="uk-UA"/>
              </w:rPr>
              <w:t>ФК-3.</w:t>
            </w:r>
            <w:r>
              <w:rPr>
                <w:b w:val="false"/>
                <w:bCs w:val="false"/>
                <w:spacing w:val="-16"/>
                <w:sz w:val="28"/>
                <w:szCs w:val="28"/>
                <w:lang w:val="uk-UA"/>
              </w:rPr>
              <w:t xml:space="preserve"> Здатність здійснювати об’єктивний контроль і оцінювання рівня навчальних досягнень учнів з відповідних предметів;</w:t>
            </w:r>
          </w:p>
          <w:p>
            <w:pPr>
              <w:pStyle w:val="NormalWeb"/>
              <w:widowControl w:val="false"/>
              <w:spacing w:lineRule="auto" w:line="240" w:beforeAutospacing="0" w:before="0" w:afterAutospacing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b/>
                <w:bCs/>
                <w:spacing w:val="-16"/>
                <w:sz w:val="28"/>
                <w:szCs w:val="28"/>
                <w:lang w:val="uk-UA"/>
              </w:rPr>
              <w:t>ФК-4.</w:t>
            </w:r>
            <w:r>
              <w:rPr>
                <w:b w:val="false"/>
                <w:bCs w:val="false"/>
                <w:spacing w:val="-16"/>
                <w:sz w:val="28"/>
                <w:szCs w:val="28"/>
                <w:lang w:val="uk-UA"/>
              </w:rPr>
              <w:t xml:space="preserve"> Здатність використовувати психолого-педагогічні та методичні знання для формування особистості учнів та їх різнобічного розвитку;</w:t>
            </w:r>
          </w:p>
          <w:p>
            <w:pPr>
              <w:pStyle w:val="NormalWeb"/>
              <w:widowControl w:val="false"/>
              <w:spacing w:lineRule="auto" w:line="240" w:beforeAutospacing="0" w:before="0" w:afterAutospacing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b/>
                <w:bCs/>
                <w:spacing w:val="-16"/>
                <w:sz w:val="28"/>
                <w:szCs w:val="28"/>
                <w:lang w:val="uk-UA"/>
              </w:rPr>
              <w:t>ФК-5.</w:t>
            </w:r>
            <w:r>
              <w:rPr>
                <w:b w:val="false"/>
                <w:bCs w:val="false"/>
                <w:spacing w:val="-16"/>
                <w:sz w:val="28"/>
                <w:szCs w:val="28"/>
                <w:lang w:val="uk-UA"/>
              </w:rPr>
              <w:t xml:space="preserve"> Здатність формувати і підтримувати належний рівень мотивації учнів до занять математикою;</w:t>
            </w:r>
          </w:p>
          <w:p>
            <w:pPr>
              <w:pStyle w:val="NormalWeb"/>
              <w:widowControl w:val="false"/>
              <w:spacing w:lineRule="auto" w:line="240" w:beforeAutospacing="0" w:before="0" w:afterAutospacing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b/>
                <w:bCs/>
                <w:spacing w:val="-16"/>
                <w:sz w:val="28"/>
                <w:szCs w:val="28"/>
                <w:lang w:val="uk-UA"/>
              </w:rPr>
              <w:t>ФК-6.</w:t>
            </w:r>
            <w:r>
              <w:rPr>
                <w:b w:val="false"/>
                <w:bCs w:val="false"/>
                <w:spacing w:val="-16"/>
                <w:sz w:val="28"/>
                <w:szCs w:val="28"/>
                <w:lang w:val="uk-UA"/>
              </w:rPr>
              <w:t xml:space="preserve"> Здатність виявляти сучасні тенденції в освіті, виявляти обізнаність на питаннях інноваційних педагогічних технологій; впроваджувати їх в освітній процес;</w:t>
            </w:r>
          </w:p>
          <w:p>
            <w:pPr>
              <w:pStyle w:val="NormalWeb"/>
              <w:widowControl w:val="false"/>
              <w:spacing w:lineRule="auto" w:line="240" w:beforeAutospacing="0" w:before="0" w:afterAutospacing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b/>
                <w:bCs/>
                <w:spacing w:val="-16"/>
                <w:sz w:val="28"/>
                <w:szCs w:val="28"/>
                <w:lang w:val="uk-UA"/>
              </w:rPr>
              <w:t>ФК-7</w:t>
            </w:r>
            <w:r>
              <w:rPr>
                <w:b w:val="false"/>
                <w:bCs w:val="false"/>
                <w:spacing w:val="-16"/>
                <w:sz w:val="28"/>
                <w:szCs w:val="28"/>
                <w:lang w:val="uk-UA"/>
              </w:rPr>
              <w:t>. Здатність здійснювати збір, обробку, аналіз і систематизацію науково-методичної інформації; аналізувати педагогічні явища, розуміти роль кожного елемента у структурі цілого й у взаємодії з іншими для організації науково-дослідницьких розвідок за для удосконалення якості освітнього процесу;</w:t>
            </w:r>
          </w:p>
          <w:p>
            <w:pPr>
              <w:pStyle w:val="NormalWeb"/>
              <w:widowControl w:val="false"/>
              <w:spacing w:lineRule="auto" w:line="240" w:beforeAutospacing="0" w:before="0" w:afterAutospacing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b/>
                <w:bCs/>
                <w:spacing w:val="-16"/>
                <w:sz w:val="28"/>
                <w:szCs w:val="28"/>
                <w:lang w:val="uk-UA"/>
              </w:rPr>
              <w:t>ФК-8.</w:t>
            </w:r>
            <w:r>
              <w:rPr>
                <w:b w:val="false"/>
                <w:bCs w:val="false"/>
                <w:spacing w:val="-16"/>
                <w:sz w:val="28"/>
                <w:szCs w:val="28"/>
                <w:lang w:val="uk-UA"/>
              </w:rPr>
              <w:t xml:space="preserve"> Здатність організовувати співпрацю учнів, налагодити взаємодію з батьками, колегами, соціальними партнерами, зацікавленими в забезпеченні якості освітнього процесу;</w:t>
            </w:r>
          </w:p>
          <w:p>
            <w:pPr>
              <w:pStyle w:val="NormalWeb"/>
              <w:widowControl w:val="false"/>
              <w:spacing w:lineRule="auto" w:line="240" w:beforeAutospacing="0" w:before="0" w:afterAutospacing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b/>
                <w:bCs/>
                <w:spacing w:val="-16"/>
                <w:sz w:val="28"/>
                <w:szCs w:val="28"/>
                <w:lang w:val="uk-UA"/>
              </w:rPr>
              <w:t>ФК-9.</w:t>
            </w:r>
            <w:r>
              <w:rPr>
                <w:b w:val="false"/>
                <w:bCs w:val="false"/>
                <w:spacing w:val="-16"/>
                <w:sz w:val="28"/>
                <w:szCs w:val="28"/>
                <w:lang w:val="uk-UA"/>
              </w:rPr>
              <w:t xml:space="preserve"> Здатність забезпечити охорону життя і здоров’я учнів в освітньому процесі;</w:t>
            </w:r>
          </w:p>
          <w:p>
            <w:pPr>
              <w:pStyle w:val="NormalWeb"/>
              <w:widowControl w:val="false"/>
              <w:spacing w:lineRule="auto" w:line="240" w:beforeAutospacing="0" w:before="0" w:afterAutospacing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b/>
                <w:bCs/>
                <w:spacing w:val="-16"/>
                <w:sz w:val="28"/>
                <w:szCs w:val="28"/>
                <w:lang w:val="uk-UA"/>
              </w:rPr>
              <w:t>ФК-10.</w:t>
            </w:r>
            <w:r>
              <w:rPr>
                <w:b w:val="false"/>
                <w:bCs w:val="false"/>
                <w:spacing w:val="-16"/>
                <w:sz w:val="28"/>
                <w:szCs w:val="28"/>
                <w:lang w:val="uk-UA"/>
              </w:rPr>
              <w:t xml:space="preserve"> Здатність усвідомлювати відповідальність за результати професійної діяльності, якість виконання службових обов’язків;</w:t>
            </w:r>
          </w:p>
          <w:p>
            <w:pPr>
              <w:pStyle w:val="NormalWeb"/>
              <w:widowControl w:val="false"/>
              <w:spacing w:lineRule="auto" w:line="240" w:beforeAutospacing="0" w:before="0" w:afterAutospacing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b/>
                <w:bCs/>
                <w:spacing w:val="-16"/>
                <w:sz w:val="28"/>
                <w:szCs w:val="28"/>
                <w:lang w:val="uk-UA"/>
              </w:rPr>
              <w:t>ФК-11.</w:t>
            </w:r>
            <w:r>
              <w:rPr>
                <w:b w:val="false"/>
                <w:bCs w:val="false"/>
                <w:spacing w:val="-16"/>
                <w:sz w:val="28"/>
                <w:szCs w:val="28"/>
                <w:lang w:val="uk-UA"/>
              </w:rPr>
              <w:t xml:space="preserve"> Здатність узагальнювати та презентувати педагогічний досвід навчання учнів математики;</w:t>
            </w:r>
          </w:p>
          <w:p>
            <w:pPr>
              <w:pStyle w:val="NormalWeb"/>
              <w:widowControl w:val="false"/>
              <w:spacing w:lineRule="auto" w:line="240" w:beforeAutospacing="0" w:before="0" w:afterAutospacing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b/>
                <w:bCs/>
                <w:spacing w:val="-16"/>
                <w:sz w:val="28"/>
                <w:szCs w:val="28"/>
                <w:lang w:val="uk-UA"/>
              </w:rPr>
              <w:t>ФК-12.</w:t>
            </w:r>
            <w:r>
              <w:rPr>
                <w:b w:val="false"/>
                <w:bCs w:val="false"/>
                <w:spacing w:val="-16"/>
                <w:sz w:val="28"/>
                <w:szCs w:val="28"/>
                <w:lang w:val="uk-UA"/>
              </w:rPr>
              <w:t xml:space="preserve"> Здатність до рефлексії, самовдосконалення, до прийняття рішень щодо подальшого професійного розвитку.</w:t>
            </w:r>
          </w:p>
          <w:p>
            <w:pPr>
              <w:pStyle w:val="NormalWeb"/>
              <w:widowControl w:val="false"/>
              <w:spacing w:lineRule="auto" w:line="240" w:beforeAutospacing="0" w:before="0" w:afterAutospacing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  <w:p>
            <w:pPr>
              <w:pStyle w:val="NormalWeb"/>
              <w:widowControl w:val="false"/>
              <w:spacing w:lineRule="auto" w:line="240" w:beforeAutospacing="0" w:before="0" w:afterAutospacing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  <w:p>
            <w:pPr>
              <w:pStyle w:val="NormalWeb"/>
              <w:widowControl w:val="false"/>
              <w:spacing w:lineRule="auto" w:line="240" w:beforeAutospacing="0" w:before="0" w:afterAutospacing="0" w:after="0"/>
              <w:jc w:val="both"/>
              <w:rPr>
                <w:rFonts w:ascii="Times New Roman" w:hAnsi="Times New Roman"/>
                <w:spacing w:val="-16"/>
                <w:sz w:val="28"/>
                <w:szCs w:val="28"/>
              </w:rPr>
            </w:pPr>
            <w:r>
              <w:rPr>
                <w:spacing w:val="-16"/>
                <w:sz w:val="28"/>
                <w:szCs w:val="28"/>
              </w:rPr>
            </w:r>
          </w:p>
        </w:tc>
        <w:tc>
          <w:tcPr>
            <w:tcW w:w="510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pacing w:val="-16"/>
                <w:sz w:val="28"/>
                <w:szCs w:val="28"/>
                <w:lang w:val="uk-UA" w:eastAsia="ru-RU"/>
              </w:rPr>
              <w:t>ПР-1</w:t>
            </w:r>
            <w:r>
              <w:rPr>
                <w:rFonts w:ascii="Times New Roman" w:hAnsi="Times New Roman"/>
                <w:spacing w:val="-16"/>
                <w:sz w:val="28"/>
                <w:szCs w:val="28"/>
                <w:lang w:val="uk-UA" w:eastAsia="ru-RU"/>
              </w:rPr>
              <w:t>. Відтворює базові знання навчальних дисциплін з циклу загальної підготовки в обсязі необхідному для загального розвитку та використання у професійній діяльності;</w:t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pacing w:val="-16"/>
                <w:sz w:val="28"/>
                <w:szCs w:val="28"/>
                <w:lang w:val="uk-UA" w:eastAsia="ru-RU"/>
              </w:rPr>
              <w:t>ПР-2</w:t>
            </w:r>
            <w:r>
              <w:rPr>
                <w:rFonts w:ascii="Times New Roman" w:hAnsi="Times New Roman"/>
                <w:spacing w:val="-16"/>
                <w:sz w:val="28"/>
                <w:szCs w:val="28"/>
                <w:lang w:val="uk-UA" w:eastAsia="ru-RU"/>
              </w:rPr>
              <w:t>. Знає теоретичні основи освітнього процесу, здатний інтегрувати знання, аналізувати і порівнювати педагогічні технології, експериментувати в педагогічній діяльності;</w:t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pacing w:val="-16"/>
                <w:sz w:val="28"/>
                <w:szCs w:val="28"/>
                <w:lang w:val="uk-UA" w:eastAsia="ru-RU"/>
              </w:rPr>
              <w:t>ПР-3</w:t>
            </w:r>
            <w:r>
              <w:rPr>
                <w:rFonts w:ascii="Times New Roman" w:hAnsi="Times New Roman"/>
                <w:spacing w:val="-16"/>
                <w:sz w:val="28"/>
                <w:szCs w:val="28"/>
                <w:lang w:val="uk-UA" w:eastAsia="ru-RU"/>
              </w:rPr>
              <w:t>. Знає українську національну культуру, виявляє повагу до інших культур, здатний організовувати патріотичне виховання учнів;</w:t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pacing w:val="-16"/>
                <w:sz w:val="28"/>
                <w:szCs w:val="28"/>
                <w:lang w:val="uk-UA" w:eastAsia="ru-RU"/>
              </w:rPr>
              <w:t>ПР-4.</w:t>
            </w:r>
            <w:r>
              <w:rPr>
                <w:rFonts w:ascii="Times New Roman" w:hAnsi="Times New Roman"/>
                <w:spacing w:val="-16"/>
                <w:sz w:val="28"/>
                <w:szCs w:val="28"/>
                <w:lang w:val="uk-UA" w:eastAsia="ru-RU"/>
              </w:rPr>
              <w:t xml:space="preserve"> Здатний продемонструвати та застосувати знання з математики та історії розвитку математики;</w:t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pacing w:val="-16"/>
                <w:sz w:val="28"/>
                <w:szCs w:val="28"/>
                <w:lang w:val="uk-UA" w:eastAsia="ru-RU"/>
              </w:rPr>
              <w:t>ПР-5.</w:t>
            </w:r>
            <w:r>
              <w:rPr>
                <w:rFonts w:ascii="Times New Roman" w:hAnsi="Times New Roman"/>
                <w:spacing w:val="-16"/>
                <w:sz w:val="28"/>
                <w:szCs w:val="28"/>
                <w:lang w:val="uk-UA" w:eastAsia="ru-RU"/>
              </w:rPr>
              <w:t xml:space="preserve"> Здатний розв’язувати задачі різних рівнів складності шкільної математики;</w:t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pacing w:val="-16"/>
                <w:sz w:val="28"/>
                <w:szCs w:val="28"/>
                <w:lang w:val="uk-UA" w:eastAsia="ru-RU"/>
              </w:rPr>
              <w:t>ПР-6</w:t>
            </w:r>
            <w:r>
              <w:rPr>
                <w:rFonts w:ascii="Times New Roman" w:hAnsi="Times New Roman"/>
                <w:spacing w:val="-16"/>
                <w:sz w:val="28"/>
                <w:szCs w:val="28"/>
                <w:lang w:val="uk-UA" w:eastAsia="ru-RU"/>
              </w:rPr>
              <w:t>. Розуміє і здатний застосувати основні теоретичні положення методики навчання відповідного предмету на рівні, необхідному для досягнення інших результатів освітньої програми;</w:t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pacing w:val="-16"/>
                <w:sz w:val="28"/>
                <w:szCs w:val="28"/>
                <w:lang w:val="uk-UA" w:eastAsia="ru-RU"/>
              </w:rPr>
              <w:t>ПР-7.</w:t>
            </w:r>
            <w:r>
              <w:rPr>
                <w:rFonts w:ascii="Times New Roman" w:hAnsi="Times New Roman"/>
                <w:spacing w:val="-16"/>
                <w:sz w:val="28"/>
                <w:szCs w:val="28"/>
                <w:lang w:val="uk-UA" w:eastAsia="ru-RU"/>
              </w:rPr>
              <w:t xml:space="preserve"> Знає, здатний пояснити та продемонструвати фрагменти організації навчання учнів математики на різних конкретних етапах уроку з урахуванням вікових особливостей учнів та специфіки навчальних цілей;</w:t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pacing w:val="-16"/>
                <w:sz w:val="28"/>
                <w:szCs w:val="28"/>
                <w:lang w:val="uk-UA" w:eastAsia="ru-RU"/>
              </w:rPr>
              <w:t>ПР-8.</w:t>
            </w:r>
            <w:r>
              <w:rPr>
                <w:rFonts w:ascii="Times New Roman" w:hAnsi="Times New Roman"/>
                <w:spacing w:val="-16"/>
                <w:sz w:val="28"/>
                <w:szCs w:val="28"/>
                <w:lang w:val="uk-UA" w:eastAsia="ru-RU"/>
              </w:rPr>
              <w:t xml:space="preserve"> Здатний спроектувати і провести на належному рівні урок математики;</w:t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pacing w:val="-16"/>
                <w:sz w:val="28"/>
                <w:szCs w:val="28"/>
                <w:lang w:val="uk-UA" w:eastAsia="ru-RU"/>
              </w:rPr>
              <w:t>ПР-9.</w:t>
            </w:r>
            <w:r>
              <w:rPr>
                <w:rFonts w:ascii="Times New Roman" w:hAnsi="Times New Roman"/>
                <w:spacing w:val="-16"/>
                <w:sz w:val="28"/>
                <w:szCs w:val="28"/>
                <w:lang w:val="uk-UA" w:eastAsia="ru-RU"/>
              </w:rPr>
              <w:t xml:space="preserve"> Здатний виявляти помилки та недоліки в знаннях та уміннях учнів, в логіці міркувань, пояснювати різницю між фактами та наслідками;</w:t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pacing w:val="-16"/>
                <w:sz w:val="28"/>
                <w:szCs w:val="28"/>
                <w:lang w:val="uk-UA" w:eastAsia="ru-RU"/>
              </w:rPr>
              <w:t>ПР-10</w:t>
            </w:r>
            <w:r>
              <w:rPr>
                <w:rFonts w:ascii="Times New Roman" w:hAnsi="Times New Roman"/>
                <w:spacing w:val="-16"/>
                <w:sz w:val="28"/>
                <w:szCs w:val="28"/>
                <w:lang w:val="uk-UA" w:eastAsia="ru-RU"/>
              </w:rPr>
              <w:t>. Здатний розрізняти, критично осмислювати, використовувати традиційні та інноваційні підходи, принципи, методи, прийоми навчання та організації професійній діяльності, працювати в команді;</w:t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pacing w:val="-16"/>
                <w:sz w:val="28"/>
                <w:szCs w:val="28"/>
                <w:lang w:val="uk-UA" w:eastAsia="ru-RU"/>
              </w:rPr>
              <w:t>ПР-11</w:t>
            </w:r>
            <w:r>
              <w:rPr>
                <w:rFonts w:ascii="Times New Roman" w:hAnsi="Times New Roman"/>
                <w:spacing w:val="-16"/>
                <w:sz w:val="28"/>
                <w:szCs w:val="28"/>
                <w:lang w:val="uk-UA" w:eastAsia="ru-RU"/>
              </w:rPr>
              <w:t>. Здатний планувати й здійснювати освітній процес, досліджувати результативність навчання, робити висновки про ефективність використовуваних методів, прийомів та засобів навчання та виховання;</w:t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pacing w:val="-16"/>
                <w:sz w:val="28"/>
                <w:szCs w:val="28"/>
                <w:lang w:val="uk-UA" w:eastAsia="ru-RU"/>
              </w:rPr>
              <w:t>ПР-12.</w:t>
            </w:r>
            <w:r>
              <w:rPr>
                <w:rFonts w:ascii="Times New Roman" w:hAnsi="Times New Roman"/>
                <w:spacing w:val="-16"/>
                <w:sz w:val="28"/>
                <w:szCs w:val="28"/>
                <w:lang w:val="uk-UA" w:eastAsia="ru-RU"/>
              </w:rPr>
              <w:t xml:space="preserve"> Здатний аналізувати, проектувати, впроваджувати та вдосконалювати навчально-методичне оснащення навчання відповідних предметів і виховання учнів;</w:t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pacing w:val="-16"/>
                <w:sz w:val="28"/>
                <w:szCs w:val="28"/>
                <w:lang w:val="uk-UA" w:eastAsia="ru-RU"/>
              </w:rPr>
              <w:t>ПР-13.</w:t>
            </w:r>
            <w:r>
              <w:rPr>
                <w:rFonts w:ascii="Times New Roman" w:hAnsi="Times New Roman"/>
                <w:spacing w:val="-16"/>
                <w:sz w:val="28"/>
                <w:szCs w:val="28"/>
                <w:lang w:val="uk-UA" w:eastAsia="ru-RU"/>
              </w:rPr>
              <w:t xml:space="preserve"> Розуміє важливість збереження здоров’я (власного й навколишніх), відтворює базові знання з охорони праці та безпеки життєдіяльності у обсязі, необхідному для збереження життя, здоров’я учнів та забезпечення їх прав;</w:t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pacing w:val="-16"/>
                <w:sz w:val="28"/>
                <w:szCs w:val="28"/>
                <w:lang w:val="uk-UA" w:eastAsia="ru-RU"/>
              </w:rPr>
              <w:t>ПР-14.</w:t>
            </w:r>
            <w:r>
              <w:rPr>
                <w:rFonts w:ascii="Times New Roman" w:hAnsi="Times New Roman"/>
                <w:spacing w:val="-16"/>
                <w:sz w:val="28"/>
                <w:szCs w:val="28"/>
                <w:lang w:val="uk-UA" w:eastAsia="ru-RU"/>
              </w:rPr>
              <w:t xml:space="preserve"> Здатний сприймати інформацію, творчо її переосмислювати та застосовувати в процесі професійної діяльності, виявляти лідерські якості;</w:t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pacing w:val="-16"/>
                <w:sz w:val="28"/>
                <w:szCs w:val="28"/>
                <w:lang w:val="uk-UA" w:eastAsia="ru-RU"/>
              </w:rPr>
              <w:t>ПР-15</w:t>
            </w:r>
            <w:r>
              <w:rPr>
                <w:rFonts w:ascii="Times New Roman" w:hAnsi="Times New Roman"/>
                <w:spacing w:val="-16"/>
                <w:sz w:val="28"/>
                <w:szCs w:val="28"/>
                <w:lang w:val="uk-UA" w:eastAsia="ru-RU"/>
              </w:rPr>
              <w:t>. Здатний формулювати думку логічно, доступно, дискутувати і аргументовано відстоювати власну точку зору в процесі фахової діяльності, модифікувати висловлювання відповідно до культурних особливостей співрозмовника;</w:t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pacing w:val="-16"/>
                <w:sz w:val="28"/>
                <w:szCs w:val="28"/>
                <w:lang w:val="uk-UA" w:eastAsia="ru-RU"/>
              </w:rPr>
              <w:t>ПР-16.</w:t>
            </w:r>
            <w:r>
              <w:rPr>
                <w:rFonts w:ascii="Times New Roman" w:hAnsi="Times New Roman"/>
                <w:spacing w:val="-16"/>
                <w:sz w:val="28"/>
                <w:szCs w:val="28"/>
                <w:lang w:val="uk-UA" w:eastAsia="ru-RU"/>
              </w:rPr>
              <w:t xml:space="preserve"> Здатний презентувати результати власних досліджень усно / письмово для поінформованої аудиторії.</w:t>
            </w:r>
          </w:p>
        </w:tc>
      </w:tr>
      <w:tr>
        <w:trPr>
          <w:trHeight w:val="14488" w:hRule="exact"/>
        </w:trPr>
        <w:tc>
          <w:tcPr>
            <w:tcW w:w="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6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b/>
                <w:b/>
                <w:i/>
                <w:i/>
                <w:spacing w:val="-16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b/>
                <w:i/>
                <w:spacing w:val="-16"/>
                <w:sz w:val="28"/>
                <w:szCs w:val="28"/>
                <w:lang w:eastAsia="ru-RU"/>
              </w:rPr>
            </w:r>
          </w:p>
        </w:tc>
        <w:tc>
          <w:tcPr>
            <w:tcW w:w="32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/>
                <w:sz w:val="28"/>
                <w:szCs w:val="28"/>
                <w:lang w:val="ru-RU" w:eastAsia="ru-RU"/>
              </w:rPr>
            </w:pPr>
            <w:r>
              <w:rPr>
                <w:rFonts w:eastAsia="Times New Roman" w:ascii="Times New Roman" w:hAnsi="Times New Roman"/>
                <w:sz w:val="28"/>
                <w:szCs w:val="28"/>
                <w:lang w:val="ru-RU" w:eastAsia="ru-RU"/>
              </w:rPr>
            </w:r>
          </w:p>
        </w:tc>
        <w:tc>
          <w:tcPr>
            <w:tcW w:w="5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 курсу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/>
          <w:sz w:val="28"/>
          <w:szCs w:val="28"/>
          <w:lang w:eastAsia="ru-RU"/>
        </w:rPr>
      </w:pPr>
      <w:r>
        <w:rPr>
          <w:rFonts w:eastAsia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Змістовий модуль 1. Загальна теорія конфлікту.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1. Конфлікт: загальні та особливі характеристики.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2. Психологічна феноменологія конфліктів.</w:t>
      </w:r>
    </w:p>
    <w:p>
      <w:pPr>
        <w:pStyle w:val="Normal"/>
        <w:spacing w:lineRule="auto" w:line="240" w:before="0" w:after="0"/>
        <w:ind w:left="540" w:hanging="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Змістовий модуль 2. Психологічні причини конфліктів та особистість.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3. Психологічні причини конфліктів.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4. Внутрішньоособистісні конфлікти.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ind w:left="540" w:hanging="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Змістовий модуль 3. Конфлікти у взаємодії людей.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5. Міжособистісні конфлікти.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6. Конфлікти у різних сферах і формах взаємодії людей.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ind w:left="540" w:hanging="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Змістовий модуль 4. Теорія та практика управління конфліктами.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7. Управління конфліктами.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8. Профілактика конфліктів.</w:t>
      </w:r>
      <w:r>
        <w:rPr>
          <w:rFonts w:ascii="Times New Roman" w:hAnsi="Times New Roman"/>
          <w:bCs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eastAsia="Times New Roman" w:ascii="Times New Roman" w:hAnsi="Times New Roman"/>
          <w:b/>
          <w:sz w:val="28"/>
          <w:szCs w:val="28"/>
          <w:lang w:eastAsia="ru-RU"/>
        </w:rPr>
        <w:t>Методи навчання:</w:t>
      </w:r>
    </w:p>
    <w:p>
      <w:pPr>
        <w:pStyle w:val="3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 w:val="false"/>
          <w:color w:val="000000"/>
          <w:sz w:val="28"/>
          <w:szCs w:val="28"/>
        </w:rPr>
        <w:t>- словесні: пояснення, лекція, бесіда;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 наочні: ілюстрування, самостійне спостереження;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 практичні: вправи, практичні роботи;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 методи оволодіння знаннями, формування умінь і навичок, застосування отриманих знань, умінь і навичок;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 пояснювально-ілюстративні, репродуктивні, проблемного викладу, частково-пошукові;</w:t>
      </w:r>
    </w:p>
    <w:p>
      <w:pPr>
        <w:pStyle w:val="Normal"/>
        <w:tabs>
          <w:tab w:val="clear" w:pos="708"/>
          <w:tab w:val="left" w:pos="-180" w:leader="none"/>
        </w:tabs>
        <w:spacing w:lineRule="auto" w:line="240" w:before="0" w:after="0"/>
        <w:jc w:val="both"/>
        <w:rPr/>
      </w:pPr>
      <w:r>
        <w:rPr>
          <w:rStyle w:val="Strong"/>
          <w:rFonts w:ascii="Times New Roman" w:hAnsi="Times New Roman"/>
          <w:color w:val="000000"/>
          <w:sz w:val="28"/>
          <w:szCs w:val="28"/>
        </w:rPr>
        <w:t xml:space="preserve">- </w:t>
      </w:r>
      <w:r>
        <w:rPr>
          <w:rStyle w:val="Strong"/>
          <w:rFonts w:ascii="Times New Roman" w:hAnsi="Times New Roman"/>
          <w:b w:val="false"/>
          <w:color w:val="000000"/>
          <w:sz w:val="28"/>
          <w:szCs w:val="28"/>
        </w:rPr>
        <w:t>методи стимулювання навчальної діяльності:</w:t>
      </w:r>
      <w:r>
        <w:rPr>
          <w:rStyle w:val="Strong"/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методи навчальної дискусії, пізнавальних ігор, створення ситуації інтересу в процесі викладання навчального матеріалу, створення ситуації новизни навчального матеріалу, опори на життєвий досвід здобувачів;</w:t>
      </w:r>
    </w:p>
    <w:p>
      <w:pPr>
        <w:pStyle w:val="Normal"/>
        <w:tabs>
          <w:tab w:val="clear" w:pos="708"/>
          <w:tab w:val="left" w:pos="-180" w:leader="none"/>
        </w:tabs>
        <w:spacing w:lineRule="auto" w:line="240" w:before="0" w:after="0"/>
        <w:jc w:val="both"/>
        <w:rPr/>
      </w:pPr>
      <w:r>
        <w:rPr>
          <w:rStyle w:val="Strong"/>
          <w:rFonts w:ascii="Times New Roman" w:hAnsi="Times New Roman"/>
          <w:color w:val="000000"/>
          <w:sz w:val="28"/>
          <w:szCs w:val="28"/>
        </w:rPr>
        <w:t xml:space="preserve">- </w:t>
      </w:r>
      <w:r>
        <w:rPr>
          <w:rStyle w:val="Strong"/>
          <w:rFonts w:ascii="Times New Roman" w:hAnsi="Times New Roman"/>
          <w:b w:val="false"/>
          <w:color w:val="000000"/>
          <w:sz w:val="28"/>
          <w:szCs w:val="28"/>
        </w:rPr>
        <w:t>методи контролю і самоконтролю у навчанні:</w:t>
      </w:r>
      <w:r>
        <w:rPr>
          <w:rStyle w:val="Strong"/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метод усного контролю (основне запитання, додаткові, допоміжні; запитання у вигляді проблеми; індивідуальне, фронтальне опитування і комбіноване), метод письмового контролю; метод тестового контролю;</w:t>
      </w:r>
    </w:p>
    <w:p>
      <w:pPr>
        <w:pStyle w:val="NormalWeb"/>
        <w:shd w:val="clear" w:color="auto" w:fill="FFFFFF"/>
        <w:spacing w:lineRule="auto" w:line="240" w:beforeAutospacing="0" w:before="0" w:afterAutospacing="0" w:after="0"/>
        <w:jc w:val="both"/>
        <w:rPr>
          <w:rFonts w:ascii="Times New Roman" w:hAnsi="Times New Roman"/>
          <w:sz w:val="28"/>
          <w:szCs w:val="28"/>
        </w:rPr>
      </w:pPr>
      <w:r>
        <w:rPr>
          <w:color w:val="000000"/>
          <w:sz w:val="28"/>
          <w:szCs w:val="28"/>
        </w:rPr>
        <w:t xml:space="preserve">- методи викладання: інформаційно-повідомляючий, пояснювальний, інструктивно-практичний, пояснювально-спонукаючий; </w:t>
      </w:r>
    </w:p>
    <w:p>
      <w:pPr>
        <w:pStyle w:val="NormalWeb"/>
        <w:shd w:val="clear" w:color="auto" w:fill="FFFFFF"/>
        <w:spacing w:lineRule="auto" w:line="240" w:beforeAutospacing="0" w:before="0" w:afterAutospacing="0" w:after="0"/>
        <w:jc w:val="both"/>
        <w:rPr>
          <w:rFonts w:ascii="Times New Roman" w:hAnsi="Times New Roman"/>
          <w:sz w:val="28"/>
          <w:szCs w:val="28"/>
        </w:rPr>
      </w:pPr>
      <w:r>
        <w:rPr>
          <w:color w:val="000000"/>
          <w:sz w:val="28"/>
          <w:szCs w:val="28"/>
        </w:rPr>
        <w:t>- методи навчання: виконавчий, репродуктивний (відтворюючий),  продуктивно-практичний; частково-пошуковий;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 психологічний дебрифінг.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Політика курсу (особливості проведення навчальних занять):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Політика щодо дедлайнів та перескладання.</w:t>
      </w:r>
      <w:r>
        <w:rPr>
          <w:rFonts w:ascii="Times New Roman" w:hAnsi="Times New Roman"/>
          <w:sz w:val="28"/>
          <w:szCs w:val="28"/>
        </w:rPr>
        <w:t xml:space="preserve"> Своєчасне виконання практичних завдань та самостійної роботи є обов’язковим. Роботи, які здаються із порушенням термінів без поважних причин, оцінюються на нижчу оцінку. Відпрацювання тем курсу, що були пропущені або не підготовлені, відбувається на консультаціях згідно графіку.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Політика щодо академічної доброчесності.</w:t>
      </w:r>
      <w:r>
        <w:rPr>
          <w:rFonts w:ascii="Times New Roman" w:hAnsi="Times New Roman"/>
          <w:sz w:val="28"/>
          <w:szCs w:val="28"/>
        </w:rPr>
        <w:t xml:space="preserve"> Дотримання норм академічної доброчесності є загальною вимогою для студентів БДПУ згідно з Положенням про академічну доброчесність у БДПУ. Очікується, що роботи студентів будуть їх оригінальними дослідженнями чи міркуваннями. Відсутність посилань на використані джерела, фабрикування джерел, списування, втручання в роботу інших студентів становлять, але не обмежують приклади можливої академічної недоброчесності. Виявлення ознак академічної недоброчесності в письмовій роботі студента є підставою для її незарахування викладачем, незалежно від масштабів плагіату чи обману. При повторних порушеннях, беручи до уваги моральний аспект проблеми, до студента можуть бути застосовані дисциплінарні заходи.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Політика щодо відвідування.</w:t>
      </w:r>
      <w:r>
        <w:rPr>
          <w:rFonts w:ascii="Times New Roman" w:hAnsi="Times New Roman"/>
          <w:sz w:val="28"/>
          <w:szCs w:val="28"/>
        </w:rPr>
        <w:t xml:space="preserve"> Очікується, що всі здобувачі вищої освіти відвідають лекційні та практичні заняття курсу. За об’єктивних причин (хвороба, працевлаштування, міжнародне стажування тощо) навчання може відбуватись в он-лайн формі за погодженням із викладачем. Студенти мають інформувати викладача про неможливість відвідати заняття. У будь-якому випадку студенти зобов’язані дотримуватися термінів, визначених для виконання усіх видів письмових робіт, передбачених курсом.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shd w:val="clear" w:color="auto" w:fill="FFFFFF"/>
        <w:spacing w:lineRule="auto" w:line="2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Технічне й програмне забезпечення/обладнання, наочність: </w:t>
      </w:r>
      <w:r>
        <w:rPr>
          <w:rFonts w:ascii="Times New Roman" w:hAnsi="Times New Roman"/>
          <w:sz w:val="28"/>
          <w:szCs w:val="28"/>
        </w:rPr>
        <w:t>Вивчення курсу  передбачає використання ТЗН (мультимедійний проектор, екран, ноутбук тощо), офіційних каналів зв’язку (Viber, Google, Zoom, Skype, електронна пошта тощо) та освітніх платформ (</w:t>
      </w:r>
      <w:r>
        <w:rPr>
          <w:rFonts w:ascii="Times New Roman" w:hAnsi="Times New Roman"/>
          <w:sz w:val="28"/>
          <w:szCs w:val="28"/>
          <w:lang w:val="en-US"/>
        </w:rPr>
        <w:t>MOODLE</w:t>
      </w:r>
      <w:r>
        <w:rPr>
          <w:rFonts w:ascii="Times New Roman" w:hAnsi="Times New Roman"/>
          <w:sz w:val="28"/>
          <w:szCs w:val="28"/>
        </w:rPr>
        <w:t xml:space="preserve">, Всеосвіта та ін.). </w:t>
      </w:r>
    </w:p>
    <w:p>
      <w:pPr>
        <w:pStyle w:val="Normal"/>
        <w:spacing w:lineRule="auto" w:line="240" w:before="0" w:after="0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Система оцінювання та вимоги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677"/>
        <w:gridCol w:w="4677"/>
      </w:tblGrid>
      <w:tr>
        <w:trPr/>
        <w:tc>
          <w:tcPr>
            <w:tcW w:w="4677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sz w:val="28"/>
                <w:szCs w:val="28"/>
              </w:rPr>
              <w:t>Оцінка за університетською шкалою</w:t>
            </w:r>
          </w:p>
        </w:tc>
        <w:tc>
          <w:tcPr>
            <w:tcW w:w="4677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sz w:val="28"/>
                <w:szCs w:val="28"/>
              </w:rPr>
              <w:t>Оцінка за шкалою ЄКТС</w:t>
            </w:r>
          </w:p>
        </w:tc>
      </w:tr>
      <w:tr>
        <w:trPr/>
        <w:tc>
          <w:tcPr>
            <w:tcW w:w="4677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>90-100</w:t>
            </w:r>
          </w:p>
        </w:tc>
        <w:tc>
          <w:tcPr>
            <w:tcW w:w="4677" w:type="dxa"/>
            <w:tcBorders/>
          </w:tcPr>
          <w:p>
            <w:pPr>
              <w:pStyle w:val="Style28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>А</w:t>
            </w:r>
          </w:p>
        </w:tc>
      </w:tr>
      <w:tr>
        <w:trPr/>
        <w:tc>
          <w:tcPr>
            <w:tcW w:w="4677" w:type="dxa"/>
            <w:tcBorders/>
          </w:tcPr>
          <w:p>
            <w:pPr>
              <w:pStyle w:val="Style28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>78-89</w:t>
            </w:r>
          </w:p>
        </w:tc>
        <w:tc>
          <w:tcPr>
            <w:tcW w:w="4677" w:type="dxa"/>
            <w:tcBorders/>
          </w:tcPr>
          <w:p>
            <w:pPr>
              <w:pStyle w:val="Style28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>В</w:t>
            </w:r>
          </w:p>
        </w:tc>
      </w:tr>
      <w:tr>
        <w:trPr/>
        <w:tc>
          <w:tcPr>
            <w:tcW w:w="4677" w:type="dxa"/>
            <w:tcBorders/>
          </w:tcPr>
          <w:p>
            <w:pPr>
              <w:pStyle w:val="Style28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>65-77</w:t>
            </w:r>
          </w:p>
        </w:tc>
        <w:tc>
          <w:tcPr>
            <w:tcW w:w="4677" w:type="dxa"/>
            <w:tcBorders/>
          </w:tcPr>
          <w:p>
            <w:pPr>
              <w:pStyle w:val="Style28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>С</w:t>
            </w:r>
          </w:p>
        </w:tc>
      </w:tr>
      <w:tr>
        <w:trPr/>
        <w:tc>
          <w:tcPr>
            <w:tcW w:w="4677" w:type="dxa"/>
            <w:tcBorders/>
          </w:tcPr>
          <w:p>
            <w:pPr>
              <w:pStyle w:val="Style28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>58-64</w:t>
            </w:r>
          </w:p>
        </w:tc>
        <w:tc>
          <w:tcPr>
            <w:tcW w:w="4677" w:type="dxa"/>
            <w:tcBorders/>
          </w:tcPr>
          <w:p>
            <w:pPr>
              <w:pStyle w:val="Style28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  <w:lang w:val="en-US"/>
              </w:rPr>
              <w:t>D</w:t>
            </w:r>
          </w:p>
        </w:tc>
      </w:tr>
      <w:tr>
        <w:trPr/>
        <w:tc>
          <w:tcPr>
            <w:tcW w:w="4677" w:type="dxa"/>
            <w:tcBorders/>
          </w:tcPr>
          <w:p>
            <w:pPr>
              <w:pStyle w:val="Style28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  <w:lang w:val="en-US"/>
              </w:rPr>
              <w:t>50-57</w:t>
            </w:r>
          </w:p>
        </w:tc>
        <w:tc>
          <w:tcPr>
            <w:tcW w:w="4677" w:type="dxa"/>
            <w:tcBorders/>
          </w:tcPr>
          <w:p>
            <w:pPr>
              <w:pStyle w:val="Style28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  <w:lang w:val="en-US"/>
              </w:rPr>
              <w:t>E</w:t>
            </w:r>
          </w:p>
        </w:tc>
      </w:tr>
      <w:tr>
        <w:trPr/>
        <w:tc>
          <w:tcPr>
            <w:tcW w:w="4677" w:type="dxa"/>
            <w:tcBorders/>
          </w:tcPr>
          <w:p>
            <w:pPr>
              <w:pStyle w:val="Style28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  <w:lang w:val="en-US"/>
              </w:rPr>
              <w:t>35-49</w:t>
            </w:r>
          </w:p>
        </w:tc>
        <w:tc>
          <w:tcPr>
            <w:tcW w:w="4677" w:type="dxa"/>
            <w:tcBorders/>
          </w:tcPr>
          <w:p>
            <w:pPr>
              <w:pStyle w:val="Style28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  <w:lang w:val="en-US"/>
              </w:rPr>
              <w:t>FX</w:t>
            </w:r>
          </w:p>
          <w:p>
            <w:pPr>
              <w:pStyle w:val="Style28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8"/>
                <w:szCs w:val="28"/>
                <w:lang w:val="en-US"/>
              </w:rPr>
              <w:t>(з можливістю повторного складання)</w:t>
            </w:r>
          </w:p>
        </w:tc>
      </w:tr>
      <w:tr>
        <w:trPr/>
        <w:tc>
          <w:tcPr>
            <w:tcW w:w="4677" w:type="dxa"/>
            <w:tcBorders/>
          </w:tcPr>
          <w:p>
            <w:pPr>
              <w:pStyle w:val="Style28"/>
              <w:widowControl w:val="false"/>
              <w:spacing w:lineRule="auto" w:line="240" w:before="0" w:after="16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  <w:lang w:val="en-US"/>
              </w:rPr>
              <w:t>1-34</w:t>
            </w:r>
          </w:p>
        </w:tc>
        <w:tc>
          <w:tcPr>
            <w:tcW w:w="4677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>F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8"/>
                <w:szCs w:val="28"/>
              </w:rPr>
              <w:t>(з обов’язковим повторним вивченням ОК)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Рейтингові бали за виконання різних видів навчальних завдань</w:t>
      </w:r>
    </w:p>
    <w:p>
      <w:pPr>
        <w:pStyle w:val="Normal"/>
        <w:widowControl w:val="false"/>
        <w:spacing w:lineRule="auto" w:line="240" w:before="0" w:after="0"/>
        <w:ind w:left="720" w:hanging="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widowControl w:val="false"/>
        <w:numPr>
          <w:ilvl w:val="0"/>
          <w:numId w:val="5"/>
        </w:numPr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Відповідь та активність на практичному занятті - до 3 балів.</w:t>
      </w:r>
    </w:p>
    <w:p>
      <w:pPr>
        <w:pStyle w:val="Style23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3 бали - </w:t>
      </w:r>
      <w:r>
        <w:rPr>
          <w:sz w:val="28"/>
          <w:szCs w:val="28"/>
          <w:lang w:val="uk-UA"/>
        </w:rPr>
        <w:t>систематичні та глибокі знання програмового матеріалу з теми; послідовне, логічне та повне розкриття змісту питань; вільне володіння термінологією; наведення прикладів; правильні відповіді на додаткові питання; висвітлювання додаткової наукової інформації (виступи, реферати, презентації).</w:t>
      </w:r>
    </w:p>
    <w:p>
      <w:pPr>
        <w:pStyle w:val="Style23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b/>
          <w:sz w:val="28"/>
          <w:szCs w:val="28"/>
          <w:lang w:val="uk-UA"/>
        </w:rPr>
        <w:t>2 бали</w:t>
      </w:r>
      <w:r>
        <w:rPr>
          <w:sz w:val="28"/>
          <w:szCs w:val="28"/>
          <w:lang w:val="uk-UA"/>
        </w:rPr>
        <w:t xml:space="preserve"> - систематичні та глибокі знання програмового матеріалу з теми; послідовне, логічне та повне розкриття змісту питань; вільне володіння термінологією; наведення прикладів; правильні відповіді на додаткові питання. </w:t>
      </w:r>
    </w:p>
    <w:p>
      <w:pPr>
        <w:pStyle w:val="Style23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b/>
          <w:sz w:val="28"/>
          <w:szCs w:val="28"/>
        </w:rPr>
        <w:t>1 бал</w:t>
      </w:r>
      <w:r>
        <w:rPr>
          <w:sz w:val="28"/>
          <w:szCs w:val="28"/>
        </w:rPr>
        <w:t xml:space="preserve"> – прогалини у знаннях програмового матеріалу з теми, помилки у розкритті змісту питань, труднощі у розкритті змісту основних понять теми, відсутня активність при обговоренні питань теми. </w:t>
      </w:r>
    </w:p>
    <w:p>
      <w:pPr>
        <w:pStyle w:val="Style23"/>
        <w:spacing w:lineRule="auto" w:line="240" w:before="0" w:after="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Style23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b/>
          <w:sz w:val="28"/>
          <w:szCs w:val="28"/>
        </w:rPr>
        <w:t>2. Виконання самостійної роботи - до 2 бала.</w:t>
      </w:r>
    </w:p>
    <w:p>
      <w:pPr>
        <w:pStyle w:val="Style23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b/>
          <w:sz w:val="28"/>
          <w:szCs w:val="28"/>
        </w:rPr>
        <w:t xml:space="preserve">2  бали – </w:t>
      </w:r>
      <w:r>
        <w:rPr>
          <w:sz w:val="28"/>
          <w:szCs w:val="28"/>
        </w:rPr>
        <w:t>послідовне, логічне та повне виконання завдань самостійної роботи, творчий підхід до їх виконання, використання додаткової наукової інформації, наявність висновків та їх інтерпретація.</w:t>
      </w:r>
    </w:p>
    <w:p>
      <w:pPr>
        <w:pStyle w:val="Style23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b/>
          <w:sz w:val="28"/>
          <w:szCs w:val="28"/>
        </w:rPr>
        <w:t xml:space="preserve">1 бал – </w:t>
      </w:r>
      <w:r>
        <w:rPr>
          <w:sz w:val="28"/>
          <w:szCs w:val="28"/>
        </w:rPr>
        <w:t>виконання завдань самостійної роботи не в повному обсязі, поверховий виклад матеріалу та відсутність власних думок, відсутність логічних висновків.</w:t>
      </w:r>
    </w:p>
    <w:p>
      <w:pPr>
        <w:pStyle w:val="Style23"/>
        <w:spacing w:lineRule="auto" w:line="240" w:before="0" w:after="0"/>
        <w:jc w:val="both"/>
        <w:rPr>
          <w:rFonts w:ascii="Times New Roman" w:hAnsi="Times New Roman"/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Style23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b/>
          <w:sz w:val="28"/>
          <w:szCs w:val="28"/>
        </w:rPr>
        <w:t>4. Залік – до 50 балів.</w:t>
      </w:r>
    </w:p>
    <w:p>
      <w:pPr>
        <w:pStyle w:val="Style23"/>
        <w:spacing w:lineRule="auto" w:line="240" w:before="0" w:after="0"/>
        <w:jc w:val="both"/>
        <w:rPr>
          <w:rFonts w:ascii="Times New Roman" w:hAnsi="Times New Roman" w:eastAsia="Calibri"/>
          <w:b/>
          <w:b/>
          <w:sz w:val="28"/>
          <w:szCs w:val="28"/>
        </w:rPr>
      </w:pPr>
      <w:r>
        <w:rPr>
          <w:rFonts w:eastAsia="Calibri"/>
          <w:b/>
          <w:sz w:val="28"/>
          <w:szCs w:val="28"/>
        </w:rPr>
      </w:r>
    </w:p>
    <w:p>
      <w:pPr>
        <w:pStyle w:val="Style23"/>
        <w:spacing w:lineRule="auto" w:line="240" w:before="0" w:after="0"/>
        <w:jc w:val="both"/>
        <w:rPr>
          <w:rFonts w:ascii="Times New Roman" w:hAnsi="Times New Roman"/>
          <w:sz w:val="28"/>
          <w:szCs w:val="28"/>
        </w:rPr>
      </w:pPr>
      <w:r>
        <w:rPr>
          <w:b/>
          <w:i/>
          <w:iCs/>
          <w:sz w:val="28"/>
          <w:szCs w:val="28"/>
        </w:rPr>
        <w:t>Примітка</w:t>
      </w:r>
      <w:r>
        <w:rPr>
          <w:i/>
          <w:iCs/>
          <w:sz w:val="28"/>
          <w:szCs w:val="28"/>
        </w:rPr>
        <w:t>.</w:t>
      </w:r>
      <w:r>
        <w:rPr>
          <w:sz w:val="28"/>
          <w:szCs w:val="28"/>
        </w:rPr>
        <w:t xml:space="preserve"> У разі отримання здобувачами неформальної (тренінги, майстер-класи, семінари, вебінари та ін.) та інформальної освіти (відеолекції, медіа-консультації, читання спеціалізованої літератури та ін.), її результати зараховуються згідно з темами, передбаченими даною програмою, при наявності відповідного документа (сертифіката).</w:t>
      </w:r>
    </w:p>
    <w:p>
      <w:pPr>
        <w:pStyle w:val="Normal"/>
        <w:shd w:val="clear" w:color="auto" w:fill="FFFFFF"/>
        <w:spacing w:lineRule="auto" w:line="240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Список рекомендованих джерел 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bidi w:val="0"/>
        <w:spacing w:lineRule="auto" w:line="240"/>
        <w:jc w:val="center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Базова</w:t>
      </w:r>
    </w:p>
    <w:p>
      <w:pPr>
        <w:pStyle w:val="ListParagraph"/>
        <w:numPr>
          <w:ilvl w:val="0"/>
          <w:numId w:val="1"/>
        </w:numPr>
        <w:bidi w:val="0"/>
        <w:spacing w:lineRule="auto" w:line="240"/>
        <w:ind w:left="36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Дученко М. М., Шевчук О. А. Конфліктологія. Практикум : навч. посіб. для студ. спеціальності 051 «Економіка» освітньою програмою «Управління персоналом та економіка праці». Київ : КПІ ім. Ігоря Сікорського, 2020. 88 с.</w:t>
      </w:r>
    </w:p>
    <w:p>
      <w:pPr>
        <w:pStyle w:val="ListParagraph"/>
        <w:numPr>
          <w:ilvl w:val="0"/>
          <w:numId w:val="1"/>
        </w:numPr>
        <w:bidi w:val="0"/>
        <w:spacing w:lineRule="auto" w:line="240"/>
        <w:ind w:left="36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Єременко Л. В. Конфліктологія : навчальний посібник. Мелітополь : ФОП Однорог Т. В., 2018. 219 с.</w:t>
      </w:r>
    </w:p>
    <w:p>
      <w:pPr>
        <w:pStyle w:val="ListParagraph"/>
        <w:numPr>
          <w:ilvl w:val="0"/>
          <w:numId w:val="1"/>
        </w:numPr>
        <w:bidi w:val="0"/>
        <w:spacing w:lineRule="auto" w:line="240"/>
        <w:ind w:left="36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Конфліктологія : загальна та юридична : підручник / Л. М. Герасіна,                  М. П. Требін, О. М. Сахань, В. Д. Воднік; за заг. ред. Л. М. Герасіної. Харків : Право, 2021. 224 с.</w:t>
      </w:r>
    </w:p>
    <w:p>
      <w:pPr>
        <w:pStyle w:val="ListParagraph"/>
        <w:numPr>
          <w:ilvl w:val="0"/>
          <w:numId w:val="1"/>
        </w:numPr>
        <w:bidi w:val="0"/>
        <w:spacing w:lineRule="auto" w:line="240"/>
        <w:ind w:left="36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Конфліктологія : курс лекцій, енциклопедія, програма, таблиці. Навчальний посібник. Ужгород : Видавництво УжНУ «Говерла», 2020. 360 с.</w:t>
      </w:r>
    </w:p>
    <w:p>
      <w:pPr>
        <w:pStyle w:val="ListParagraph"/>
        <w:numPr>
          <w:ilvl w:val="0"/>
          <w:numId w:val="1"/>
        </w:numPr>
        <w:bidi w:val="0"/>
        <w:spacing w:lineRule="auto" w:line="240"/>
        <w:ind w:left="36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Матвійчук Т. Ф. Конфліктологія : навчально-методичний посібник. Львів : Вид-во «ГАЛИЧ-ПРЕС», 2018. 76 с.</w:t>
      </w:r>
    </w:p>
    <w:p>
      <w:pPr>
        <w:pStyle w:val="ListParagraph"/>
        <w:numPr>
          <w:ilvl w:val="0"/>
          <w:numId w:val="1"/>
        </w:numPr>
        <w:bidi w:val="0"/>
        <w:spacing w:lineRule="auto" w:line="240"/>
        <w:ind w:left="36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Петрінко В. С. Конфліктологія : курс лекцій, енциклопедія, програма, таблиці. Навчальний посібник. Ужгород : Видавництво УжНУ «Говерла», 2020. 360 с.</w:t>
      </w:r>
    </w:p>
    <w:p>
      <w:pPr>
        <w:pStyle w:val="ListParagraph"/>
        <w:numPr>
          <w:ilvl w:val="0"/>
          <w:numId w:val="1"/>
        </w:numPr>
        <w:bidi w:val="0"/>
        <w:spacing w:lineRule="auto" w:line="240"/>
        <w:ind w:left="36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Цюрупа, М. В. Основи конфліктології та теорії переговорів [Текст] : навч. посіб. Київ : Кондор, 2015. 172 с.</w:t>
      </w:r>
    </w:p>
    <w:p>
      <w:pPr>
        <w:pStyle w:val="ListParagraph"/>
        <w:numPr>
          <w:ilvl w:val="0"/>
          <w:numId w:val="1"/>
        </w:numPr>
        <w:bidi w:val="0"/>
        <w:spacing w:lineRule="auto" w:line="240"/>
        <w:ind w:left="36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Яхно. Т., Куревіна І. Конфліктологія та теорія переговорів : навч. посіб. </w:t>
      </w:r>
      <w:r>
        <w:rPr>
          <w:rFonts w:ascii="Times New Roman" w:hAnsi="Times New Roman"/>
          <w:sz w:val="28"/>
          <w:szCs w:val="28"/>
          <w:lang w:val="ru-RU"/>
        </w:rPr>
        <w:t xml:space="preserve">Київ : </w:t>
      </w:r>
      <w:r>
        <w:rPr>
          <w:rFonts w:ascii="Times New Roman" w:hAnsi="Times New Roman"/>
          <w:sz w:val="28"/>
          <w:szCs w:val="28"/>
        </w:rPr>
        <w:t xml:space="preserve">Центр учбової літератури, 2021. 168 с.  </w:t>
      </w:r>
    </w:p>
    <w:p>
      <w:pPr>
        <w:pStyle w:val="Normal"/>
        <w:bidi w:val="0"/>
        <w:spacing w:lineRule="auto" w:line="24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</w:t>
      </w:r>
      <w:r>
        <w:rPr>
          <w:rFonts w:cs="Times New Roman" w:ascii="Times New Roman" w:hAnsi="Times New Roman"/>
          <w:b/>
          <w:iCs/>
          <w:sz w:val="28"/>
          <w:szCs w:val="28"/>
        </w:rPr>
        <w:t>Допоміжна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iCs/>
          <w:sz w:val="28"/>
          <w:szCs w:val="28"/>
        </w:rPr>
        <w:t>Ануфрієва Н. М. Психологія конфлікту : навч. посіб. Київ : Ін-т післядипломної освіти КНУ, 2005. 101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iCs/>
          <w:sz w:val="28"/>
          <w:szCs w:val="28"/>
        </w:rPr>
        <w:t>Ващенко І. В., Гіренко С. П. Загальна конфліктологія : навч. посіб. 2-ге вид. Харків : Оригінал, 2001. 384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Гуменюк Л. Й. Соціальна конфліктологія: підручник. Львів : Львівський державний університет внутрішніх справ, 2015. 564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iCs/>
          <w:sz w:val="28"/>
          <w:szCs w:val="28"/>
        </w:rPr>
        <w:t>Долинська Л. В., Матяш-Заяц Л. П. Психологія конфлікту. Київ : Каравела, 2010. 304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iCs/>
          <w:sz w:val="28"/>
          <w:szCs w:val="28"/>
        </w:rPr>
        <w:t xml:space="preserve">Дуткевич Т. В. </w:t>
      </w:r>
      <w:r>
        <w:rPr>
          <w:rFonts w:cs="Times New Roman" w:ascii="Times New Roman" w:hAnsi="Times New Roman"/>
          <w:sz w:val="28"/>
          <w:szCs w:val="28"/>
        </w:rPr>
        <w:t>Конфліктологія з основами психології управління : навчальний посібник. Київ : Центр навчальної літератури, 2005. 456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Конфліктологія : навч. посіб. / Л. М. Герасіна, М. П. Требін, В. Д. Воднік та ін. Харків : Право, 2012. 128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iCs/>
          <w:sz w:val="28"/>
          <w:szCs w:val="28"/>
        </w:rPr>
        <w:t xml:space="preserve">Ложкін Г. </w:t>
      </w:r>
      <w:r>
        <w:rPr>
          <w:rFonts w:cs="Times New Roman" w:ascii="Times New Roman" w:hAnsi="Times New Roman"/>
          <w:sz w:val="28"/>
          <w:szCs w:val="28"/>
        </w:rPr>
        <w:t xml:space="preserve">В., </w:t>
      </w:r>
      <w:r>
        <w:rPr>
          <w:rFonts w:cs="Times New Roman" w:ascii="Times New Roman" w:hAnsi="Times New Roman"/>
          <w:iCs/>
          <w:sz w:val="28"/>
          <w:szCs w:val="28"/>
        </w:rPr>
        <w:t>Пов</w:t>
      </w:r>
      <w:r>
        <w:rPr>
          <w:rFonts w:cs="Times New Roman" w:ascii="Times New Roman" w:hAnsi="Times New Roman"/>
          <w:sz w:val="28"/>
          <w:szCs w:val="28"/>
        </w:rPr>
        <w:t>’</w:t>
      </w:r>
      <w:r>
        <w:rPr>
          <w:rFonts w:cs="Times New Roman" w:ascii="Times New Roman" w:hAnsi="Times New Roman"/>
          <w:iCs/>
          <w:sz w:val="28"/>
          <w:szCs w:val="28"/>
        </w:rPr>
        <w:t>якель</w:t>
      </w:r>
      <w:r>
        <w:rPr>
          <w:rFonts w:cs="Times New Roman" w:ascii="Times New Roman" w:hAnsi="Times New Roman"/>
          <w:sz w:val="28"/>
          <w:szCs w:val="28"/>
        </w:rPr>
        <w:t xml:space="preserve"> Н. І. Психологія конфлікту : теорія і сучасна практика : навчальний посібник. Київ : ВД «Професіонал», 2007. 416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iCs/>
          <w:sz w:val="28"/>
          <w:szCs w:val="28"/>
        </w:rPr>
        <w:t>Нагаєв В. М.</w:t>
      </w:r>
      <w:r>
        <w:rPr>
          <w:rFonts w:cs="Times New Roman" w:ascii="Times New Roman" w:hAnsi="Times New Roman"/>
          <w:sz w:val="28"/>
          <w:szCs w:val="28"/>
        </w:rPr>
        <w:t xml:space="preserve"> Конфліктологія : курс лекцій (модульний варіант) : навчальний посібник. Київ : Центр навчальної літератури, 2004. 198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bCs/>
          <w:sz w:val="28"/>
          <w:szCs w:val="28"/>
        </w:rPr>
        <w:t>Пірен М. І.</w:t>
      </w:r>
      <w:r>
        <w:rPr>
          <w:rFonts w:cs="Times New Roman" w:ascii="Times New Roman" w:hAnsi="Times New Roman"/>
          <w:b/>
          <w:bCs/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Конфліктологія : підручник. Київ : МАУП, 2003. 360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  <w:lang w:eastAsia="en-US"/>
        </w:rPr>
        <w:t xml:space="preserve"> </w:t>
      </w:r>
      <w:r>
        <w:rPr>
          <w:rFonts w:cs="Times New Roman" w:ascii="Times New Roman" w:hAnsi="Times New Roman"/>
          <w:sz w:val="28"/>
          <w:szCs w:val="28"/>
          <w:lang w:eastAsia="en-US"/>
        </w:rPr>
        <w:t>Приходько Ю. О., Юрченко В. І. Психологічний словник-довідник : навч. посіб. Київ : Каравелла, 2012. 328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Скібіцька Л. Конфліктологія : навч. посіб. для студ. вищих навч. закл. Київ : Центр учбової літератури, 2007. 383 с.</w:t>
      </w:r>
    </w:p>
    <w:p>
      <w:pPr>
        <w:pStyle w:val="ListParagraph"/>
        <w:numPr>
          <w:ilvl w:val="0"/>
          <w:numId w:val="2"/>
        </w:numPr>
        <w:bidi w:val="0"/>
        <w:spacing w:lineRule="auto" w:line="240"/>
        <w:ind w:left="720" w:right="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Філоненко М. М. Психологія спілкування : підруч. для вищ. навч. закл. Київ : Центр учбової літератури, 2008. 224 с.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Інтернет-ресурси</w:t>
      </w:r>
    </w:p>
    <w:p>
      <w:pPr>
        <w:pStyle w:val="Normal"/>
        <w:spacing w:lineRule="auto" w:line="240" w:before="0" w:after="0"/>
        <w:ind w:left="0" w:right="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b w:val="false"/>
          <w:bCs w:val="false"/>
          <w:spacing w:val="-20"/>
          <w:sz w:val="28"/>
          <w:szCs w:val="28"/>
          <w:lang w:val="uk-UA"/>
        </w:rPr>
        <w:t>1. http://chitalka.info/psy.html – Електронні підручники онлайн «Психологія».</w:t>
      </w:r>
    </w:p>
    <w:p>
      <w:pPr>
        <w:pStyle w:val="Normal"/>
        <w:spacing w:lineRule="auto" w:line="240" w:before="0" w:after="0"/>
        <w:ind w:left="0" w:right="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b w:val="false"/>
          <w:bCs w:val="false"/>
          <w:spacing w:val="-20"/>
          <w:sz w:val="28"/>
          <w:szCs w:val="28"/>
          <w:lang w:val="uk-UA"/>
        </w:rPr>
        <w:t>2. http://osvita.ua/school/psychology/ – освіта. ua.</w:t>
      </w:r>
    </w:p>
    <w:p>
      <w:pPr>
        <w:pStyle w:val="Normal"/>
        <w:spacing w:lineRule="auto" w:line="240" w:before="0" w:after="0"/>
        <w:ind w:left="0" w:right="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b w:val="false"/>
          <w:bCs w:val="false"/>
          <w:spacing w:val="-20"/>
          <w:sz w:val="28"/>
          <w:szCs w:val="28"/>
          <w:lang w:val="uk-UA"/>
        </w:rPr>
        <w:t>3. http//www.meta-ukraine.com – Мета – українська пошукова система.</w:t>
      </w:r>
    </w:p>
    <w:p>
      <w:pPr>
        <w:pStyle w:val="Normal"/>
        <w:spacing w:lineRule="auto" w:line="240" w:before="0" w:after="0"/>
        <w:ind w:left="0" w:right="0" w:hanging="0"/>
        <w:jc w:val="both"/>
        <w:rPr/>
      </w:pPr>
      <w:r>
        <w:rPr>
          <w:rFonts w:cs="Times New Roman" w:ascii="Times New Roman" w:hAnsi="Times New Roman"/>
          <w:b w:val="false"/>
          <w:bCs w:val="false"/>
          <w:spacing w:val="-20"/>
          <w:sz w:val="28"/>
          <w:szCs w:val="28"/>
          <w:lang w:val="uk-UA"/>
        </w:rPr>
        <w:t xml:space="preserve">4. </w:t>
      </w:r>
      <w:hyperlink r:id="rId3">
        <w:r>
          <w:rPr>
            <w:rFonts w:cs="Times New Roman" w:ascii="Times New Roman" w:hAnsi="Times New Roman"/>
            <w:b w:val="false"/>
            <w:bCs w:val="false"/>
            <w:spacing w:val="-20"/>
            <w:sz w:val="28"/>
            <w:szCs w:val="28"/>
            <w:lang w:val="uk-UA"/>
          </w:rPr>
          <w:t>http://management.com.ua</w:t>
        </w:r>
      </w:hyperlink>
      <w:r>
        <w:rPr>
          <w:rFonts w:cs="Times New Roman" w:ascii="Times New Roman" w:hAnsi="Times New Roman"/>
          <w:b w:val="false"/>
          <w:bCs w:val="false"/>
          <w:spacing w:val="-20"/>
          <w:sz w:val="28"/>
          <w:szCs w:val="28"/>
          <w:lang w:val="uk-UA"/>
        </w:rPr>
        <w:t>.</w:t>
      </w:r>
    </w:p>
    <w:p>
      <w:pPr>
        <w:pStyle w:val="Normal"/>
        <w:spacing w:lineRule="auto" w:line="240" w:before="0" w:after="0"/>
        <w:ind w:left="0" w:right="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b w:val="false"/>
          <w:bCs w:val="false"/>
          <w:spacing w:val="-20"/>
          <w:sz w:val="28"/>
          <w:szCs w:val="28"/>
          <w:lang w:val="uk-UA"/>
        </w:rPr>
        <w:t>5. http//www.google.com – пошукова система Google.</w:t>
      </w:r>
    </w:p>
    <w:p>
      <w:pPr>
        <w:pStyle w:val="Normal"/>
        <w:spacing w:lineRule="auto" w:line="240" w:before="0" w:after="0"/>
        <w:ind w:left="0" w:right="0" w:hanging="0"/>
        <w:jc w:val="both"/>
        <w:rPr/>
      </w:pPr>
      <w:r>
        <w:rPr>
          <w:rStyle w:val="Style13"/>
          <w:rFonts w:cs="Times New Roman" w:ascii="Times New Roman" w:hAnsi="Times New Roman"/>
          <w:b w:val="false"/>
          <w:bCs w:val="false"/>
          <w:color w:val="000000"/>
          <w:spacing w:val="-20"/>
          <w:sz w:val="28"/>
          <w:szCs w:val="28"/>
          <w:lang w:val="uk-UA"/>
        </w:rPr>
        <w:t xml:space="preserve">6. </w:t>
      </w:r>
      <w:hyperlink r:id="rId4">
        <w:r>
          <w:rPr>
            <w:rFonts w:cs="Times New Roman" w:ascii="Times New Roman" w:hAnsi="Times New Roman"/>
            <w:b w:val="false"/>
            <w:bCs w:val="false"/>
            <w:color w:val="000000"/>
            <w:sz w:val="28"/>
            <w:szCs w:val="28"/>
            <w:lang w:val="uk-UA"/>
          </w:rPr>
          <w:t>http://edu.bdpu.org</w:t>
        </w:r>
      </w:hyperlink>
      <w:r>
        <w:rPr>
          <w:rFonts w:cs="Times New Roman" w:ascii="Times New Roman" w:hAnsi="Times New Roman"/>
          <w:b w:val="false"/>
          <w:bCs w:val="false"/>
          <w:color w:val="000000"/>
          <w:sz w:val="28"/>
          <w:szCs w:val="28"/>
          <w:lang w:val="uk-UA"/>
        </w:rPr>
        <w:t>.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 w:val="false"/>
          <w:b w:val="false"/>
          <w:bCs w:val="false"/>
          <w:sz w:val="28"/>
          <w:szCs w:val="28"/>
        </w:rPr>
      </w:pPr>
      <w:r>
        <w:rPr>
          <w:rFonts w:ascii="Times New Roman" w:hAnsi="Times New Roman"/>
          <w:b w:val="false"/>
          <w:bCs w:val="false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/>
        <w:bidi w:val="0"/>
        <w:spacing w:lineRule="auto" w:line="240" w:before="0" w:after="160"/>
        <w:jc w:val="left"/>
        <w:rPr>
          <w:rFonts w:ascii="Times New Roman" w:hAnsi="Times New Roman"/>
          <w:sz w:val="28"/>
          <w:szCs w:val="28"/>
        </w:rPr>
      </w:pPr>
      <w:r>
        <w:rPr/>
      </w:r>
    </w:p>
    <w:sectPr>
      <w:type w:val="nextPage"/>
      <w:pgSz w:w="11906" w:h="16838"/>
      <w:pgMar w:left="1701" w:right="850" w:gutter="0" w:header="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Courier New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Segoe UI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3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68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0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9b2b98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uk-UA" w:eastAsia="en-US" w:bidi="ar-SA"/>
    </w:rPr>
  </w:style>
  <w:style w:type="paragraph" w:styleId="3">
    <w:name w:val="Heading 3"/>
    <w:basedOn w:val="Normal"/>
    <w:next w:val="Normal"/>
    <w:link w:val="31"/>
    <w:uiPriority w:val="9"/>
    <w:semiHidden/>
    <w:unhideWhenUsed/>
    <w:qFormat/>
    <w:rsid w:val="009b2b98"/>
    <w:pPr>
      <w:keepNext w:val="true"/>
      <w:spacing w:lineRule="auto" w:line="240" w:before="240" w:after="60"/>
      <w:outlineLvl w:val="2"/>
    </w:pPr>
    <w:rPr>
      <w:rFonts w:ascii="Cambria" w:hAnsi="Cambria" w:eastAsia="Times New Roman"/>
      <w:b/>
      <w:bCs/>
      <w:sz w:val="26"/>
      <w:szCs w:val="26"/>
      <w:lang w:val="ru-RU"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31" w:customStyle="1">
    <w:name w:val="Заголовок 3 Знак"/>
    <w:basedOn w:val="DefaultParagraphFont"/>
    <w:uiPriority w:val="9"/>
    <w:semiHidden/>
    <w:qFormat/>
    <w:rsid w:val="009b2b98"/>
    <w:rPr>
      <w:rFonts w:ascii="Cambria" w:hAnsi="Cambria" w:eastAsia="Times New Roman" w:cs="Times New Roman"/>
      <w:b/>
      <w:bCs/>
      <w:sz w:val="26"/>
      <w:szCs w:val="26"/>
      <w:lang w:eastAsia="ru-RU"/>
    </w:rPr>
  </w:style>
  <w:style w:type="character" w:styleId="FontStyle29" w:customStyle="1">
    <w:name w:val="Font Style29"/>
    <w:uiPriority w:val="99"/>
    <w:qFormat/>
    <w:rsid w:val="009b2b98"/>
    <w:rPr>
      <w:rFonts w:ascii="Times New Roman" w:hAnsi="Times New Roman" w:cs="Times New Roman"/>
      <w:sz w:val="20"/>
      <w:szCs w:val="20"/>
    </w:rPr>
  </w:style>
  <w:style w:type="character" w:styleId="FontStyle30" w:customStyle="1">
    <w:name w:val="Font Style30"/>
    <w:uiPriority w:val="99"/>
    <w:qFormat/>
    <w:rsid w:val="009b2b98"/>
    <w:rPr>
      <w:rFonts w:ascii="Times New Roman" w:hAnsi="Times New Roman" w:cs="Times New Roman"/>
      <w:b/>
      <w:bCs/>
      <w:sz w:val="20"/>
      <w:szCs w:val="20"/>
    </w:rPr>
  </w:style>
  <w:style w:type="character" w:styleId="FontStyle32" w:customStyle="1">
    <w:name w:val="Font Style32"/>
    <w:uiPriority w:val="99"/>
    <w:qFormat/>
    <w:rsid w:val="009b2b98"/>
    <w:rPr>
      <w:rFonts w:ascii="Times New Roman" w:hAnsi="Times New Roman" w:cs="Times New Roman"/>
      <w:b/>
      <w:bCs/>
      <w:sz w:val="20"/>
      <w:szCs w:val="20"/>
    </w:rPr>
  </w:style>
  <w:style w:type="character" w:styleId="Style13">
    <w:name w:val="Hyperlink"/>
    <w:semiHidden/>
    <w:unhideWhenUsed/>
    <w:rsid w:val="009b2b98"/>
    <w:rPr>
      <w:color w:val="0000FF"/>
      <w:u w:val="single"/>
    </w:rPr>
  </w:style>
  <w:style w:type="character" w:styleId="Style14" w:customStyle="1">
    <w:name w:val="Основной текст Знак"/>
    <w:basedOn w:val="DefaultParagraphFont"/>
    <w:qFormat/>
    <w:rsid w:val="009b2b98"/>
    <w:rPr>
      <w:rFonts w:ascii="Times New Roman" w:hAnsi="Times New Roman" w:eastAsia="Times New Roman" w:cs="Times New Roman"/>
      <w:sz w:val="28"/>
      <w:szCs w:val="24"/>
      <w:lang w:eastAsia="ru-RU"/>
    </w:rPr>
  </w:style>
  <w:style w:type="character" w:styleId="Strong">
    <w:name w:val="Strong"/>
    <w:uiPriority w:val="22"/>
    <w:qFormat/>
    <w:rsid w:val="009b2b98"/>
    <w:rPr>
      <w:b/>
      <w:bCs/>
    </w:rPr>
  </w:style>
  <w:style w:type="character" w:styleId="FontStyle31" w:customStyle="1">
    <w:name w:val="Font Style31"/>
    <w:uiPriority w:val="99"/>
    <w:qFormat/>
    <w:rsid w:val="009b2b98"/>
    <w:rPr>
      <w:rFonts w:ascii="Times New Roman" w:hAnsi="Times New Roman" w:cs="Times New Roman"/>
      <w:i/>
      <w:iCs/>
      <w:sz w:val="20"/>
      <w:szCs w:val="20"/>
    </w:rPr>
  </w:style>
  <w:style w:type="character" w:styleId="Style15" w:customStyle="1">
    <w:name w:val="Текст выноски Знак"/>
    <w:basedOn w:val="DefaultParagraphFont"/>
    <w:link w:val="BalloonText"/>
    <w:uiPriority w:val="99"/>
    <w:semiHidden/>
    <w:qFormat/>
    <w:rsid w:val="009b2b98"/>
    <w:rPr>
      <w:rFonts w:ascii="Tahoma" w:hAnsi="Tahoma" w:eastAsia="Calibri" w:cs="Tahoma"/>
      <w:sz w:val="16"/>
      <w:szCs w:val="16"/>
      <w:lang w:val="uk-UA"/>
    </w:rPr>
  </w:style>
  <w:style w:type="character" w:styleId="WW8Num3z0">
    <w:name w:val="WW8Num3z0"/>
    <w:qFormat/>
    <w:rPr>
      <w:b w:val="false"/>
      <w:color w:val="000000"/>
    </w:rPr>
  </w:style>
  <w:style w:type="character" w:styleId="WW8Num8z0">
    <w:name w:val="WW8Num8z0"/>
    <w:qFormat/>
    <w:rPr>
      <w:b w:val="false"/>
      <w:color w:val="000000"/>
    </w:rPr>
  </w:style>
  <w:style w:type="character" w:styleId="WW8Num2z0">
    <w:name w:val="WW8Num2z0"/>
    <w:qFormat/>
    <w:rPr>
      <w:rFonts w:ascii="Times New Roman" w:hAnsi="Times New Roman" w:eastAsia="Calibri" w:cs="Times New Roman"/>
      <w:color w:val="000000"/>
    </w:rPr>
  </w:style>
  <w:style w:type="character" w:styleId="WW8Num5z0">
    <w:name w:val="WW8Num5z0"/>
    <w:qFormat/>
    <w:rPr>
      <w:b w:val="false"/>
      <w:color w:val="000000"/>
    </w:rPr>
  </w:style>
  <w:style w:type="character" w:styleId="WW8Num10z0">
    <w:name w:val="WW8Num10z0"/>
    <w:qFormat/>
    <w:rPr>
      <w:b w:val="false"/>
      <w:color w:val="000000"/>
    </w:rPr>
  </w:style>
  <w:style w:type="character" w:styleId="WW8Num1z0">
    <w:name w:val="WW8Num1z0"/>
    <w:qFormat/>
    <w:rPr>
      <w:rFonts w:ascii="Times New Roman" w:hAnsi="Times New Roman" w:eastAsia="Calibri" w:cs="Times New Roman"/>
      <w:color w:val="000000"/>
    </w:rPr>
  </w:style>
  <w:style w:type="character" w:styleId="WW8Num4z0">
    <w:name w:val="WW8Num4z0"/>
    <w:qFormat/>
    <w:rPr>
      <w:b w:val="false"/>
      <w:color w:val="000000"/>
    </w:rPr>
  </w:style>
  <w:style w:type="character" w:styleId="WW8Num9z0">
    <w:name w:val="WW8Num9z0"/>
    <w:qFormat/>
    <w:rPr>
      <w:b w:val="false"/>
      <w:color w:val="000000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6z0">
    <w:name w:val="WW8Num6z0"/>
    <w:qFormat/>
    <w:rPr>
      <w:rFonts w:ascii="Times New Roman" w:hAnsi="Times New Roman" w:eastAsia="Calibri" w:cs="Times New Roman"/>
      <w:color w:val="000000"/>
    </w:rPr>
  </w:style>
  <w:style w:type="character" w:styleId="WW8Num7z0">
    <w:name w:val="WW8Num7z0"/>
    <w:qFormat/>
    <w:rPr>
      <w:rFonts w:ascii="Times New Roman" w:hAnsi="Times New Roman" w:eastAsia="Calibri" w:cs="Times New Roman"/>
      <w:color w:val="000000"/>
    </w:rPr>
  </w:style>
  <w:style w:type="character" w:styleId="WW8Num11z0">
    <w:name w:val="WW8Num11z0"/>
    <w:qFormat/>
    <w:rPr>
      <w:b w:val="false"/>
    </w:rPr>
  </w:style>
  <w:style w:type="character" w:styleId="WW8Num13z0">
    <w:name w:val="WW8Num13z0"/>
    <w:qFormat/>
    <w:rPr>
      <w:rFonts w:ascii="Times New Roman" w:hAnsi="Times New Roman" w:cs="Times New Roman"/>
    </w:rPr>
  </w:style>
  <w:style w:type="character" w:styleId="WW8Num13z1">
    <w:name w:val="WW8Num13z1"/>
    <w:qFormat/>
    <w:rPr>
      <w:rFonts w:ascii="Courier New" w:hAnsi="Courier New" w:cs="Courier New"/>
    </w:rPr>
  </w:style>
  <w:style w:type="character" w:styleId="Style16">
    <w:name w:val="Основной шрифт абзаца"/>
    <w:qFormat/>
    <w:rPr/>
  </w:style>
  <w:style w:type="character" w:styleId="Style17">
    <w:name w:val="Текст концевой сноски Знак"/>
    <w:qFormat/>
    <w:rPr>
      <w:rFonts w:ascii="Times New Roman" w:hAnsi="Times New Roman" w:eastAsia="Times New Roman" w:cs="Times New Roman"/>
      <w:lang w:val="ru-RU"/>
    </w:rPr>
  </w:style>
  <w:style w:type="character" w:styleId="Style18">
    <w:name w:val="Основной текст_"/>
    <w:qFormat/>
    <w:rPr>
      <w:sz w:val="19"/>
      <w:szCs w:val="19"/>
      <w:shd w:fill="FFFFFF" w:val="clear"/>
    </w:rPr>
  </w:style>
  <w:style w:type="character" w:styleId="4">
    <w:name w:val="Заголовок №4_"/>
    <w:qFormat/>
    <w:rPr>
      <w:b/>
      <w:bCs/>
      <w:sz w:val="19"/>
      <w:szCs w:val="19"/>
      <w:shd w:fill="FFFFFF" w:val="clear"/>
    </w:rPr>
  </w:style>
  <w:style w:type="character" w:styleId="Style19">
    <w:name w:val="Основной текст с отступом Знак"/>
    <w:qFormat/>
    <w:rPr>
      <w:sz w:val="22"/>
      <w:szCs w:val="22"/>
    </w:rPr>
  </w:style>
  <w:style w:type="character" w:styleId="Rvts0">
    <w:name w:val="rvts0"/>
    <w:qFormat/>
    <w:rPr/>
  </w:style>
  <w:style w:type="character" w:styleId="FontStyle156">
    <w:name w:val="Font Style156"/>
    <w:qFormat/>
    <w:rPr>
      <w:rFonts w:ascii="Times New Roman" w:hAnsi="Times New Roman" w:cs="Times New Roman"/>
      <w:sz w:val="16"/>
      <w:szCs w:val="16"/>
    </w:rPr>
  </w:style>
  <w:style w:type="character" w:styleId="Style20">
    <w:name w:val="Верхний колонтитул Знак"/>
    <w:qFormat/>
    <w:rPr>
      <w:rFonts w:eastAsia="Times New Roman" w:cs="Times New Roman"/>
      <w:sz w:val="24"/>
      <w:szCs w:val="24"/>
      <w:lang w:val="uk-UA"/>
    </w:rPr>
  </w:style>
  <w:style w:type="character" w:styleId="32">
    <w:name w:val="Основной текст 3 Знак"/>
    <w:qFormat/>
    <w:rPr>
      <w:rFonts w:eastAsia="Times New Roman" w:cs="Times New Roman"/>
      <w:sz w:val="16"/>
      <w:szCs w:val="16"/>
    </w:rPr>
  </w:style>
  <w:style w:type="character" w:styleId="Style21">
    <w:name w:val="Нижний колонтитул Знак"/>
    <w:qFormat/>
    <w:rPr>
      <w:rFonts w:eastAsia="Times New Roman" w:cs="Times New Roman"/>
      <w:szCs w:val="24"/>
    </w:rPr>
  </w:style>
  <w:style w:type="character" w:styleId="33">
    <w:name w:val="Основной текст с отступом 3 Знак"/>
    <w:qFormat/>
    <w:rPr>
      <w:rFonts w:eastAsia="Times New Roman" w:cs="Times New Roman"/>
      <w:szCs w:val="24"/>
      <w:lang w:val="uk-UA"/>
    </w:rPr>
  </w:style>
  <w:style w:type="character" w:styleId="8">
    <w:name w:val="Заголовок 8 Знак"/>
    <w:qFormat/>
    <w:rPr>
      <w:rFonts w:eastAsia="Times New Roman" w:cs="Times New Roman"/>
      <w:caps/>
      <w:sz w:val="40"/>
      <w:szCs w:val="24"/>
      <w:lang w:val="uk-UA"/>
    </w:rPr>
  </w:style>
  <w:style w:type="character" w:styleId="7">
    <w:name w:val="Заголовок 7 Знак"/>
    <w:qFormat/>
    <w:rPr>
      <w:rFonts w:eastAsia="Times New Roman" w:cs="Times New Roman"/>
      <w:b/>
      <w:bCs/>
      <w:szCs w:val="24"/>
      <w:lang w:val="uk-UA"/>
    </w:rPr>
  </w:style>
  <w:style w:type="character" w:styleId="41">
    <w:name w:val="Заголовок 4 Знак"/>
    <w:qFormat/>
    <w:rPr>
      <w:rFonts w:eastAsia="Times New Roman" w:cs="Times New Roman"/>
      <w:b/>
      <w:bCs/>
      <w:szCs w:val="24"/>
      <w:lang w:val="uk-UA"/>
    </w:rPr>
  </w:style>
  <w:style w:type="character" w:styleId="2">
    <w:name w:val="Заголовок 2 Знак"/>
    <w:qFormat/>
    <w:rPr>
      <w:rFonts w:ascii="Arial" w:hAnsi="Arial" w:eastAsia="Times New Roman" w:cs="Arial"/>
      <w:b/>
      <w:bCs/>
      <w:i/>
      <w:iCs/>
      <w:szCs w:val="28"/>
    </w:rPr>
  </w:style>
  <w:style w:type="character" w:styleId="1">
    <w:name w:val="Заголовок 1 Знак"/>
    <w:qFormat/>
    <w:rPr>
      <w:rFonts w:eastAsia="Times New Roman" w:cs="Times New Roman"/>
      <w:sz w:val="32"/>
      <w:szCs w:val="24"/>
      <w:lang w:val="uk-UA"/>
    </w:rPr>
  </w:style>
  <w:style w:type="character" w:styleId="WW8Num16z0">
    <w:name w:val="WW8Num16z0"/>
    <w:qFormat/>
    <w:rPr/>
  </w:style>
  <w:style w:type="character" w:styleId="WW8Num14z0">
    <w:name w:val="WW8Num14z0"/>
    <w:qFormat/>
    <w:rPr/>
  </w:style>
  <w:style w:type="character" w:styleId="WW8Num12z0">
    <w:name w:val="WW8Num12z0"/>
    <w:qFormat/>
    <w:rPr>
      <w:color w:val="000000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PlaceholderText">
    <w:name w:val="Placeholder Text"/>
    <w:qFormat/>
    <w:rPr>
      <w:rFonts w:ascii="Times New Roman" w:hAnsi="Times New Roman" w:eastAsia="Times New Roman" w:cs="Times New Roman"/>
      <w:color w:val="808080"/>
      <w:sz w:val="24"/>
      <w:szCs w:val="24"/>
    </w:rPr>
  </w:style>
  <w:style w:type="paragraph" w:styleId="Style22">
    <w:name w:val="Заголовок"/>
    <w:basedOn w:val="Normal"/>
    <w:next w:val="Style23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23">
    <w:name w:val="Body Text"/>
    <w:basedOn w:val="Normal"/>
    <w:link w:val="Style14"/>
    <w:unhideWhenUsed/>
    <w:rsid w:val="009b2b98"/>
    <w:pPr>
      <w:spacing w:lineRule="auto" w:line="240" w:before="0" w:after="120"/>
    </w:pPr>
    <w:rPr>
      <w:rFonts w:ascii="Times New Roman" w:hAnsi="Times New Roman" w:eastAsia="Times New Roman"/>
      <w:sz w:val="28"/>
      <w:szCs w:val="24"/>
      <w:lang w:val="ru-RU" w:eastAsia="ru-RU"/>
    </w:rPr>
  </w:style>
  <w:style w:type="paragraph" w:styleId="Style24">
    <w:name w:val="List"/>
    <w:basedOn w:val="Style23"/>
    <w:pPr/>
    <w:rPr>
      <w:rFonts w:cs="Arial"/>
    </w:rPr>
  </w:style>
  <w:style w:type="paragraph" w:styleId="Style25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6">
    <w:name w:val="Покажчик"/>
    <w:basedOn w:val="Normal"/>
    <w:qFormat/>
    <w:pPr>
      <w:suppressLineNumbers/>
    </w:pPr>
    <w:rPr>
      <w:rFonts w:cs="Arial"/>
      <w:lang w:val="zxx" w:eastAsia="zxx" w:bidi="zxx"/>
    </w:rPr>
  </w:style>
  <w:style w:type="paragraph" w:styleId="ListParagraph">
    <w:name w:val="List Paragraph"/>
    <w:basedOn w:val="Normal"/>
    <w:uiPriority w:val="34"/>
    <w:qFormat/>
    <w:rsid w:val="009b2b98"/>
    <w:pPr>
      <w:spacing w:lineRule="auto" w:line="276" w:before="0" w:after="200"/>
      <w:ind w:left="720" w:hanging="0"/>
      <w:contextualSpacing/>
    </w:pPr>
    <w:rPr>
      <w:rFonts w:eastAsia="Times New Roman"/>
      <w:lang w:val="ru-RU" w:eastAsia="ru-RU"/>
    </w:rPr>
  </w:style>
  <w:style w:type="paragraph" w:styleId="NormalWeb">
    <w:name w:val="Normal (Web)"/>
    <w:basedOn w:val="Normal"/>
    <w:uiPriority w:val="99"/>
    <w:unhideWhenUsed/>
    <w:qFormat/>
    <w:rsid w:val="009b2b98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val="ru-RU" w:eastAsia="ru-RU"/>
    </w:rPr>
  </w:style>
  <w:style w:type="paragraph" w:styleId="Style121" w:customStyle="1">
    <w:name w:val="Style12"/>
    <w:basedOn w:val="Normal"/>
    <w:uiPriority w:val="99"/>
    <w:qFormat/>
    <w:rsid w:val="009b2b98"/>
    <w:pPr>
      <w:widowControl w:val="false"/>
      <w:spacing w:lineRule="auto" w:line="240" w:before="0" w:after="0"/>
    </w:pPr>
    <w:rPr>
      <w:rFonts w:ascii="Times New Roman" w:hAnsi="Times New Roman" w:eastAsia="Times New Roman"/>
      <w:sz w:val="24"/>
      <w:szCs w:val="24"/>
      <w:lang w:val="ru-RU" w:eastAsia="ru-RU"/>
    </w:rPr>
  </w:style>
  <w:style w:type="paragraph" w:styleId="Style191" w:customStyle="1">
    <w:name w:val="Style19"/>
    <w:basedOn w:val="Normal"/>
    <w:uiPriority w:val="99"/>
    <w:qFormat/>
    <w:rsid w:val="009b2b98"/>
    <w:pPr>
      <w:widowControl w:val="false"/>
      <w:spacing w:lineRule="exact" w:line="278" w:before="0" w:after="0"/>
      <w:ind w:firstLine="720"/>
    </w:pPr>
    <w:rPr>
      <w:rFonts w:ascii="Times New Roman" w:hAnsi="Times New Roman" w:eastAsia="Times New Roman"/>
      <w:sz w:val="24"/>
      <w:szCs w:val="24"/>
      <w:lang w:val="ru-RU" w:eastAsia="ru-RU"/>
    </w:rPr>
  </w:style>
  <w:style w:type="paragraph" w:styleId="BalloonText">
    <w:name w:val="Balloon Text"/>
    <w:basedOn w:val="Normal"/>
    <w:link w:val="Style15"/>
    <w:uiPriority w:val="99"/>
    <w:semiHidden/>
    <w:unhideWhenUsed/>
    <w:qFormat/>
    <w:rsid w:val="009b2b98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tyle27">
    <w:name w:val="Вміст рамки"/>
    <w:basedOn w:val="Normal"/>
    <w:qFormat/>
    <w:pPr/>
    <w:rPr/>
  </w:style>
  <w:style w:type="paragraph" w:styleId="Style28">
    <w:name w:val="Вміст таблиці"/>
    <w:basedOn w:val="Normal"/>
    <w:qFormat/>
    <w:pPr>
      <w:widowControl w:val="false"/>
      <w:suppressLineNumbers/>
    </w:pPr>
    <w:rPr/>
  </w:style>
  <w:style w:type="paragraph" w:styleId="Style29">
    <w:name w:val="Заголовок таблиці"/>
    <w:basedOn w:val="Style28"/>
    <w:qFormat/>
    <w:pPr>
      <w:suppressLineNumbers/>
      <w:jc w:val="center"/>
    </w:pPr>
    <w:rPr>
      <w:b/>
      <w:bCs/>
    </w:rPr>
  </w:style>
  <w:style w:type="paragraph" w:styleId="Style30">
    <w:name w:val="Абзац списка"/>
    <w:basedOn w:val="Normal"/>
    <w:qFormat/>
    <w:pPr>
      <w:spacing w:lineRule="exact" w:line="276" w:before="0" w:after="200"/>
      <w:ind w:left="720" w:hanging="0"/>
      <w:contextualSpacing/>
    </w:pPr>
    <w:rPr>
      <w:rFonts w:ascii="Calibri" w:hAnsi="Calibri" w:eastAsia="Times New Roman" w:cs="Times New Roman"/>
      <w:lang w:val="ru-RU"/>
    </w:rPr>
  </w:style>
  <w:style w:type="paragraph" w:styleId="Style31">
    <w:name w:val="Текст выноски"/>
    <w:basedOn w:val="Normal"/>
    <w:qFormat/>
    <w:pPr>
      <w:spacing w:lineRule="exact" w:line="240" w:before="0" w:after="0"/>
    </w:pPr>
    <w:rPr>
      <w:rFonts w:ascii="Segoe UI" w:hAnsi="Segoe UI" w:cs="Segoe UI"/>
      <w:sz w:val="18"/>
      <w:szCs w:val="18"/>
    </w:rPr>
  </w:style>
  <w:style w:type="paragraph" w:styleId="Style32">
    <w:name w:val="Обычный (веб)"/>
    <w:basedOn w:val="Normal"/>
    <w:qFormat/>
    <w:pPr>
      <w:spacing w:lineRule="exact" w:line="240" w:before="280" w:after="280"/>
    </w:pPr>
    <w:rPr>
      <w:rFonts w:ascii="Times New Roman" w:hAnsi="Times New Roman" w:eastAsia="Times New Roman" w:cs="Times New Roman"/>
      <w:lang w:val="ru-RU"/>
    </w:rPr>
  </w:style>
  <w:style w:type="paragraph" w:styleId="42">
    <w:name w:val="Основной текст4"/>
    <w:basedOn w:val="Normal"/>
    <w:qFormat/>
    <w:pPr>
      <w:widowControl w:val="false"/>
      <w:shd w:fill="FFFFFF"/>
      <w:spacing w:lineRule="exact" w:line="264" w:before="2340" w:after="0"/>
      <w:ind w:hanging="340"/>
      <w:jc w:val="center"/>
    </w:pPr>
    <w:rPr>
      <w:sz w:val="19"/>
      <w:szCs w:val="19"/>
    </w:rPr>
  </w:style>
  <w:style w:type="paragraph" w:styleId="43">
    <w:name w:val="Заголовок №4"/>
    <w:basedOn w:val="Normal"/>
    <w:qFormat/>
    <w:pPr>
      <w:widowControl w:val="false"/>
      <w:shd w:fill="FFFFFF"/>
      <w:spacing w:lineRule="exact" w:line="245" w:before="300" w:after="180"/>
      <w:ind w:hanging="2000"/>
    </w:pPr>
    <w:rPr>
      <w:b/>
      <w:bCs/>
      <w:sz w:val="19"/>
      <w:szCs w:val="19"/>
    </w:rPr>
  </w:style>
  <w:style w:type="paragraph" w:styleId="Style201">
    <w:name w:val="Style20"/>
    <w:basedOn w:val="Normal"/>
    <w:qFormat/>
    <w:pPr>
      <w:widowControl w:val="false"/>
      <w:spacing w:lineRule="exact" w:line="240" w:before="0" w:after="0"/>
    </w:pPr>
    <w:rPr>
      <w:rFonts w:ascii="Times New Roman" w:hAnsi="Times New Roman" w:eastAsia="Times New Roman" w:cs="Times New Roman"/>
      <w:lang w:val="ru-RU"/>
    </w:rPr>
  </w:style>
  <w:style w:type="paragraph" w:styleId="FR2">
    <w:name w:val="FR2"/>
    <w:qFormat/>
    <w:pPr>
      <w:widowControl w:val="false"/>
      <w:suppressAutoHyphens w:val="true"/>
      <w:bidi w:val="0"/>
      <w:spacing w:before="220" w:after="0"/>
      <w:ind w:left="40" w:hanging="20"/>
      <w:jc w:val="left"/>
    </w:pPr>
    <w:rPr>
      <w:rFonts w:ascii="Arial" w:hAnsi="Arial" w:eastAsia="Times New Roman" w:cs="Arial"/>
      <w:color w:val="auto"/>
      <w:kern w:val="2"/>
      <w:sz w:val="18"/>
      <w:szCs w:val="18"/>
      <w:lang w:val="uk-UA" w:eastAsia="zh-CN" w:bidi="ar-SA"/>
    </w:rPr>
  </w:style>
  <w:style w:type="paragraph" w:styleId="Style181">
    <w:name w:val="Style18"/>
    <w:basedOn w:val="Normal"/>
    <w:qFormat/>
    <w:pPr>
      <w:widowControl w:val="false"/>
      <w:spacing w:lineRule="exact" w:line="274" w:before="0" w:after="0"/>
    </w:pPr>
    <w:rPr>
      <w:rFonts w:ascii="Times New Roman" w:hAnsi="Times New Roman" w:eastAsia="Times New Roman" w:cs="Times New Roman"/>
      <w:lang w:val="ru-RU"/>
    </w:rPr>
  </w:style>
  <w:style w:type="paragraph" w:styleId="Style33">
    <w:name w:val="Без интервала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Times New Roman"/>
      <w:color w:val="auto"/>
      <w:kern w:val="2"/>
      <w:sz w:val="22"/>
      <w:szCs w:val="22"/>
      <w:lang w:val="en-US" w:eastAsia="zh-CN" w:bidi="ar-SA"/>
    </w:rPr>
  </w:style>
  <w:style w:type="paragraph" w:styleId="11">
    <w:name w:val="Абзац списка1"/>
    <w:basedOn w:val="Normal"/>
    <w:qFormat/>
    <w:pPr>
      <w:spacing w:lineRule="exact" w:line="276" w:before="0" w:after="200"/>
      <w:ind w:left="720" w:hanging="0"/>
      <w:contextualSpacing/>
    </w:pPr>
    <w:rPr>
      <w:rFonts w:eastAsia="Times New Roman"/>
      <w:lang w:val="ru-RU"/>
    </w:rPr>
  </w:style>
  <w:style w:type="paragraph" w:styleId="Style79">
    <w:name w:val="Style79"/>
    <w:basedOn w:val="Normal"/>
    <w:qFormat/>
    <w:pPr>
      <w:widowControl w:val="false"/>
      <w:spacing w:lineRule="exact" w:line="187" w:before="0" w:after="0"/>
    </w:pPr>
    <w:rPr>
      <w:rFonts w:ascii="Times New Roman" w:hAnsi="Times New Roman" w:eastAsia="Times New Roman" w:cs="Times New Roman"/>
      <w:lang w:val="ru-RU"/>
    </w:rPr>
  </w:style>
  <w:style w:type="paragraph" w:styleId="Style161">
    <w:name w:val="Style16"/>
    <w:basedOn w:val="Normal"/>
    <w:qFormat/>
    <w:pPr>
      <w:widowControl w:val="false"/>
    </w:pPr>
    <w:rPr/>
  </w:style>
  <w:style w:type="paragraph" w:styleId="Style151">
    <w:name w:val="Style15"/>
    <w:basedOn w:val="Normal"/>
    <w:qFormat/>
    <w:pPr>
      <w:widowControl w:val="false"/>
    </w:pPr>
    <w:rPr/>
  </w:style>
  <w:style w:type="paragraph" w:styleId="Style101">
    <w:name w:val="Style10"/>
    <w:basedOn w:val="Normal"/>
    <w:qFormat/>
    <w:pPr>
      <w:widowControl w:val="false"/>
    </w:pPr>
    <w:rPr/>
  </w:style>
  <w:style w:type="paragraph" w:styleId="FR1">
    <w:name w:val="FR1"/>
    <w:qFormat/>
    <w:pPr>
      <w:widowControl w:val="false"/>
      <w:suppressAutoHyphens w:val="true"/>
      <w:bidi w:val="0"/>
      <w:spacing w:before="380" w:after="0"/>
      <w:jc w:val="left"/>
    </w:pPr>
    <w:rPr>
      <w:rFonts w:ascii="Arial" w:hAnsi="Arial" w:eastAsia="Times New Roman" w:cs="Arial"/>
      <w:color w:val="auto"/>
      <w:kern w:val="2"/>
      <w:sz w:val="28"/>
      <w:szCs w:val="28"/>
      <w:lang w:val="uk-UA" w:eastAsia="zh-CN" w:bidi="ar-SA"/>
    </w:rPr>
  </w:style>
  <w:style w:type="paragraph" w:styleId="34">
    <w:name w:val="Основной текст 3"/>
    <w:basedOn w:val="Normal"/>
    <w:qFormat/>
    <w:pPr>
      <w:spacing w:before="0" w:after="120"/>
    </w:pPr>
    <w:rPr>
      <w:sz w:val="16"/>
      <w:szCs w:val="16"/>
    </w:rPr>
  </w:style>
  <w:style w:type="paragraph" w:styleId="35">
    <w:name w:val="Основной текст с отступом 3"/>
    <w:basedOn w:val="Normal"/>
    <w:qFormat/>
    <w:pPr>
      <w:ind w:left="5520" w:hanging="0"/>
      <w:jc w:val="both"/>
    </w:pPr>
    <w:rPr>
      <w:sz w:val="20"/>
    </w:rPr>
  </w:style>
  <w:style w:type="paragraph" w:styleId="Body1">
    <w:name w:val="Body 1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Arial Unicode MS" w:cs="Arial"/>
      <w:color w:val="000000"/>
      <w:kern w:val="2"/>
      <w:sz w:val="24"/>
      <w:szCs w:val="20"/>
      <w:u w:val="none"/>
      <w:lang w:val="cs-CZ" w:eastAsia="zh-CN" w:bidi="hi-IN"/>
    </w:rPr>
  </w:style>
  <w:style w:type="paragraph" w:styleId="TableParagraph">
    <w:name w:val="Table Paragraph"/>
    <w:basedOn w:val="Normal"/>
    <w:qFormat/>
    <w:pPr>
      <w:widowControl w:val="false"/>
      <w:ind w:left="103" w:hanging="0"/>
      <w:jc w:val="both"/>
    </w:pPr>
    <w:rPr>
      <w:rFonts w:eastAsia="Times New Roman"/>
      <w:sz w:val="22"/>
      <w:szCs w:val="22"/>
      <w:lang w:val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management.com.ua/" TargetMode="External"/><Relationship Id="rId4" Type="http://schemas.openxmlformats.org/officeDocument/2006/relationships/hyperlink" Target="http://edu.bdpu.org/" TargetMode="Externa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Application>LibreOffice/7.4.2.3$Windows_X86_64 LibreOffice_project/382eef1f22670f7f4118c8c2dd222ec7ad009daf</Application>
  <AppVersion>15.0000</AppVersion>
  <Pages>8</Pages>
  <Words>1714</Words>
  <Characters>12060</Characters>
  <CharactersWithSpaces>13848</CharactersWithSpaces>
  <Paragraphs>165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dc:description/>
  <dc:language>uk-UA</dc:language>
  <cp:lastModifiedBy/>
  <dcterms:modified xsi:type="dcterms:W3CDTF">2024-04-28T10:00:41Z</dcterms:modified>
  <cp:revision>49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