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pPr w:vertAnchor="text" w:horzAnchor="page" w:leftFromText="180" w:rightFromText="180" w:tblpX="4108" w:tblpY="-352"/>
        <w:tblW w:w="7669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69"/>
      </w:tblGrid>
      <w:tr>
        <w:trPr/>
        <w:tc>
          <w:tcPr>
            <w:tcW w:w="766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sz w:val="16"/>
                <w:szCs w:val="16"/>
              </w:rPr>
              <w:t>ЗАТВЕРДЖЕНО</w:t>
            </w:r>
          </w:p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Методичною радою</w:t>
            </w:r>
          </w:p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університету</w:t>
            </w:r>
          </w:p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від 26.02.2020</w:t>
            </w:r>
          </w:p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(протокол №5)</w:t>
            </w:r>
          </w:p>
        </w:tc>
      </w:tr>
      <w:tr>
        <w:trPr/>
        <w:tc>
          <w:tcPr>
            <w:tcW w:w="766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навчальної </w:t>
            </w:r>
            <w:r>
              <w:rPr>
                <w:rFonts w:ascii="Times New Roman" w:hAnsi="Times New Roman"/>
                <w:sz w:val="28"/>
                <w:szCs w:val="28"/>
              </w:rPr>
              <w:t>дисципліни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ascii="Times New Roman" w:hAnsi="Times New Roman"/>
                <w:color w:val="1E64C9"/>
                <w:sz w:val="28"/>
                <w:szCs w:val="28"/>
              </w:rPr>
              <w:t>Конфліктологія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2023-2024 навчальний рік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/>
        <w:drawing>
          <wp:inline distT="0" distB="0" distL="0" distR="0">
            <wp:extent cx="1478280" cy="84582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8280" cy="84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Освітньо-професійна програма: </w:t>
      </w:r>
      <w:r>
        <w:rPr>
          <w:rFonts w:cs="Times New Roman" w:ascii="Times New Roman" w:hAnsi="Times New Roman"/>
          <w:b w:val="false"/>
          <w:bCs w:val="false"/>
          <w:sz w:val="28"/>
          <w:szCs w:val="28"/>
        </w:rPr>
        <w:t>Журналістика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Спеціальність: 0</w:t>
      </w:r>
      <w:r>
        <w:rPr>
          <w:rFonts w:cs="Times New Roman" w:ascii="Times New Roman" w:hAnsi="Times New Roman"/>
          <w:sz w:val="28"/>
          <w:szCs w:val="28"/>
        </w:rPr>
        <w:t>61 Журналістика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Галузь знань: 0</w:t>
      </w:r>
      <w:r>
        <w:rPr>
          <w:rFonts w:cs="Times New Roman" w:ascii="Times New Roman" w:hAnsi="Times New Roman"/>
          <w:sz w:val="28"/>
          <w:szCs w:val="28"/>
        </w:rPr>
        <w:t>6 Журналістик</w:t>
      </w:r>
      <w:r>
        <w:rPr>
          <w:rFonts w:cs="Times New Roman" w:ascii="Times New Roman" w:hAnsi="Times New Roman"/>
          <w:sz w:val="28"/>
          <w:szCs w:val="28"/>
        </w:rPr>
        <w:t>а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Рівень вищої освіти: перший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tbl>
      <w:tblPr>
        <w:tblW w:w="9904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76"/>
        <w:gridCol w:w="7127"/>
      </w:tblGrid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sz w:val="28"/>
                <w:szCs w:val="28"/>
              </w:rPr>
              <w:t>Викладач</w:t>
            </w:r>
          </w:p>
        </w:tc>
        <w:tc>
          <w:tcPr>
            <w:tcW w:w="7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Ірина ЧЕРЕЗОВА</w:t>
            </w:r>
          </w:p>
        </w:tc>
      </w:tr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7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 w:val="false"/>
                <w:i w:val="false"/>
                <w:caps w:val="false"/>
                <w:smallCaps w:val="false"/>
                <w:color w:val="202124"/>
                <w:spacing w:val="0"/>
                <w:sz w:val="28"/>
                <w:szCs w:val="28"/>
              </w:rPr>
              <w:t>bdpu.org.ua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http://bdpu.org/faculties/fppom/structure-fppom/kaf-psihologiya/</w:t>
            </w:r>
          </w:p>
        </w:tc>
      </w:tr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sz w:val="28"/>
                <w:szCs w:val="28"/>
              </w:rPr>
              <w:t>Контактний тел.</w:t>
            </w:r>
          </w:p>
        </w:tc>
        <w:tc>
          <w:tcPr>
            <w:tcW w:w="7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0665134464</w:t>
            </w:r>
          </w:p>
        </w:tc>
      </w:tr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color w:val="000000"/>
                <w:sz w:val="28"/>
                <w:szCs w:val="28"/>
              </w:rPr>
              <w:t>E-mail викладача:</w:t>
            </w:r>
          </w:p>
        </w:tc>
        <w:tc>
          <w:tcPr>
            <w:tcW w:w="7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  <w:lang w:val="en-US"/>
              </w:rPr>
              <w:t>irina.cherezova69@gmail.com</w:t>
            </w:r>
          </w:p>
        </w:tc>
      </w:tr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7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Індивідуальний</w:t>
            </w:r>
          </w:p>
        </w:tc>
      </w:tr>
    </w:tbl>
    <w:p>
      <w:pPr>
        <w:pStyle w:val="Normal"/>
        <w:spacing w:lineRule="auto" w:line="240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ListParagraph"/>
        <w:spacing w:lineRule="auto" w:line="240" w:before="0" w:after="0"/>
        <w:ind w:left="0" w:hanging="0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Обсяг курсу на поточний навчальний рік</w:t>
      </w:r>
      <w:r>
        <w:rPr>
          <w:rFonts w:ascii="Times New Roman" w:hAnsi="Times New Roman"/>
          <w:b/>
          <w:sz w:val="28"/>
          <w:szCs w:val="28"/>
        </w:rPr>
        <w:t>:</w:t>
      </w:r>
    </w:p>
    <w:tbl>
      <w:tblPr>
        <w:tblW w:w="9634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926"/>
        <w:gridCol w:w="1927"/>
        <w:gridCol w:w="1927"/>
        <w:gridCol w:w="1927"/>
        <w:gridCol w:w="1927"/>
      </w:tblGrid>
      <w:tr>
        <w:trPr>
          <w:trHeight w:val="397" w:hRule="atLeast"/>
        </w:trPr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Кількість кредитів/ годин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Лекції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Практичні заняття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Самостійна робота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звітність</w:t>
            </w:r>
          </w:p>
        </w:tc>
      </w:tr>
      <w:tr>
        <w:trPr>
          <w:trHeight w:val="397" w:hRule="atLeast"/>
        </w:trPr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Calibri" w:ascii="Times New Roman" w:hAnsi="Times New Roman" w:eastAsiaTheme="minorHAnsi"/>
                <w:sz w:val="28"/>
                <w:szCs w:val="28"/>
                <w:shd w:fill="auto" w:val="clear"/>
              </w:rPr>
              <w:t>3</w:t>
            </w:r>
            <w:r>
              <w:rPr>
                <w:rFonts w:eastAsia="Calibri" w:ascii="Times New Roman" w:hAnsi="Times New Roman" w:eastAsiaTheme="minorHAnsi"/>
                <w:sz w:val="28"/>
                <w:szCs w:val="28"/>
                <w:shd w:fill="auto" w:val="clear"/>
              </w:rPr>
              <w:t>/</w:t>
            </w:r>
            <w:r>
              <w:rPr>
                <w:rFonts w:eastAsia="Calibri" w:ascii="Times New Roman" w:hAnsi="Times New Roman" w:eastAsiaTheme="minorHAnsi"/>
                <w:sz w:val="28"/>
                <w:szCs w:val="28"/>
                <w:shd w:fill="auto" w:val="clear"/>
              </w:rPr>
              <w:t>90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Calibri" w:ascii="Times New Roman" w:hAnsi="Times New Roman" w:eastAsiaTheme="minorHAnsi"/>
                <w:sz w:val="28"/>
                <w:szCs w:val="28"/>
                <w:shd w:fill="auto" w:val="clear"/>
              </w:rPr>
              <w:t>8</w:t>
            </w:r>
            <w:r>
              <w:rPr>
                <w:rFonts w:eastAsia="Calibri" w:ascii="Times New Roman" w:hAnsi="Times New Roman" w:eastAsiaTheme="minorHAnsi"/>
                <w:sz w:val="28"/>
                <w:szCs w:val="28"/>
                <w:shd w:fill="auto" w:val="clear"/>
              </w:rPr>
              <w:t>2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залік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Семестр:</w:t>
      </w:r>
      <w:r>
        <w:rPr>
          <w:rFonts w:ascii="Times New Roman" w:hAnsi="Times New Roman"/>
          <w:sz w:val="28"/>
          <w:szCs w:val="28"/>
        </w:rPr>
        <w:t xml:space="preserve"> весняний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Мова навчання:</w:t>
      </w:r>
      <w:r>
        <w:rPr>
          <w:rFonts w:ascii="Times New Roman" w:hAnsi="Times New Roman"/>
          <w:sz w:val="28"/>
          <w:szCs w:val="28"/>
        </w:rPr>
        <w:t xml:space="preserve"> українська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Ключові слова:</w:t>
      </w:r>
      <w:r>
        <w:rPr>
          <w:rFonts w:ascii="Times New Roman" w:hAnsi="Times New Roman"/>
          <w:sz w:val="28"/>
          <w:szCs w:val="28"/>
        </w:rPr>
        <w:t xml:space="preserve"> конфлікт, конфліктна ситуація, структура конфлікту, динаміка конфлікту, види конфліктів, профілактика конфліктів, управління конфліктами.</w:t>
      </w:r>
    </w:p>
    <w:p>
      <w:pPr>
        <w:pStyle w:val="ListParagraph"/>
        <w:spacing w:lineRule="auto" w:line="240" w:before="0" w:after="0"/>
        <w:ind w:left="0" w:hanging="0"/>
        <w:contextualSpacing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Мета та предмет курсу: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/>
      </w:pPr>
      <w:r>
        <w:rPr>
          <w:rStyle w:val="FontStyle29"/>
          <w:rFonts w:ascii="Times New Roman" w:hAnsi="Times New Roman"/>
          <w:b/>
          <w:i/>
          <w:sz w:val="28"/>
          <w:szCs w:val="28"/>
          <w:lang w:val="uk-UA" w:eastAsia="uk-UA"/>
        </w:rPr>
        <w:t>Метою</w:t>
      </w:r>
      <w:r>
        <w:rPr>
          <w:rStyle w:val="FontStyle29"/>
          <w:rFonts w:ascii="Times New Roman" w:hAnsi="Times New Roman"/>
          <w:sz w:val="28"/>
          <w:szCs w:val="28"/>
          <w:lang w:val="uk-UA" w:eastAsia="uk-UA"/>
        </w:rPr>
        <w:t xml:space="preserve"> викладання навчальної дисципліни «Конфліктологія»</w:t>
      </w:r>
      <w:r>
        <w:rPr>
          <w:rStyle w:val="FontStyle31"/>
          <w:rFonts w:ascii="Times New Roman" w:hAnsi="Times New Roman"/>
          <w:sz w:val="28"/>
          <w:szCs w:val="28"/>
          <w:lang w:val="uk-UA" w:eastAsia="uk-UA"/>
        </w:rPr>
        <w:t xml:space="preserve"> </w:t>
      </w:r>
      <w:r>
        <w:rPr>
          <w:rStyle w:val="FontStyle29"/>
          <w:rFonts w:ascii="Times New Roman" w:hAnsi="Times New Roman"/>
          <w:sz w:val="28"/>
          <w:szCs w:val="28"/>
          <w:lang w:val="uk-UA" w:eastAsia="uk-UA"/>
        </w:rPr>
        <w:t>є</w:t>
      </w:r>
      <w:r>
        <w:rPr>
          <w:rFonts w:ascii="Times New Roman" w:hAnsi="Times New Roman"/>
          <w:sz w:val="28"/>
          <w:szCs w:val="28"/>
          <w:lang w:val="uk-UA"/>
        </w:rPr>
        <w:t>: забезпечити загальну теоретичну та практичну підготовку здобувачів вищої освіти у галузі конфліктології.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/>
      </w:pPr>
      <w:r>
        <w:rPr>
          <w:rFonts w:ascii="Times New Roman" w:hAnsi="Times New Roman"/>
          <w:b/>
          <w:i/>
          <w:sz w:val="28"/>
          <w:szCs w:val="28"/>
          <w:lang w:val="uk-UA"/>
        </w:rPr>
        <w:t>Предмет</w:t>
      </w:r>
      <w:r>
        <w:rPr>
          <w:rStyle w:val="FontStyle29"/>
          <w:rFonts w:ascii="Times New Roman" w:hAnsi="Times New Roman"/>
          <w:b/>
          <w:i/>
          <w:sz w:val="28"/>
          <w:szCs w:val="28"/>
          <w:lang w:val="uk-UA" w:eastAsia="uk-UA"/>
        </w:rPr>
        <w:t>ом</w:t>
      </w:r>
      <w:r>
        <w:rPr>
          <w:rStyle w:val="FontStyle29"/>
          <w:rFonts w:ascii="Times New Roman" w:hAnsi="Times New Roman"/>
          <w:sz w:val="28"/>
          <w:szCs w:val="28"/>
          <w:lang w:val="uk-UA" w:eastAsia="uk-UA"/>
        </w:rPr>
        <w:t xml:space="preserve"> навчальної дисципліни «Конфліктологія» є загальні закономірності виникнення розвитку та розв’язання конфліктів, а також керування конфліктами.</w:t>
      </w:r>
    </w:p>
    <w:p>
      <w:pPr>
        <w:pStyle w:val="ListParagraph"/>
        <w:spacing w:lineRule="auto" w:line="240" w:before="0" w:after="0"/>
        <w:ind w:left="0" w:hanging="0"/>
        <w:contextualSpacing/>
        <w:rPr>
          <w:rFonts w:ascii="Times New Roman" w:hAnsi="Times New Roman"/>
          <w:b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</w:r>
      <w:bookmarkStart w:id="0" w:name="_GoBack"/>
      <w:bookmarkStart w:id="1" w:name="_GoBack"/>
      <w:bookmarkEnd w:id="1"/>
    </w:p>
    <w:p>
      <w:pPr>
        <w:pStyle w:val="Style191"/>
        <w:widowControl/>
        <w:spacing w:lineRule="auto" w:line="240"/>
        <w:jc w:val="both"/>
        <w:rPr>
          <w:rFonts w:ascii="Times New Roman" w:hAnsi="Times New Roman"/>
          <w:sz w:val="28"/>
          <w:szCs w:val="28"/>
        </w:rPr>
      </w:pPr>
      <w:r>
        <w:rPr>
          <w:rFonts w:eastAsia="Calibri"/>
          <w:b/>
          <w:bCs/>
          <w:sz w:val="28"/>
          <w:szCs w:val="28"/>
          <w:lang w:val="uk-UA" w:eastAsia="en-US"/>
        </w:rPr>
        <w:t>Основні програмні компетентності  згідно з вимогами освітньо-професійної (освітньо-наукової) програми:</w:t>
      </w:r>
    </w:p>
    <w:p>
      <w:pPr>
        <w:pStyle w:val="Normal"/>
        <w:spacing w:lineRule="auto" w:line="240"/>
        <w:ind w:firstLine="5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tbl>
      <w:tblPr>
        <w:tblStyle w:val="a6"/>
        <w:tblW w:w="974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09"/>
        <w:gridCol w:w="2550"/>
        <w:gridCol w:w="6388"/>
      </w:tblGrid>
      <w:tr>
        <w:trPr/>
        <w:tc>
          <w:tcPr>
            <w:tcW w:w="8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28"/>
                <w:szCs w:val="28"/>
                <w:lang w:eastAsia="en-US" w:bidi="ar-SA"/>
              </w:rPr>
              <w:t>№</w:t>
            </w:r>
          </w:p>
        </w:tc>
        <w:tc>
          <w:tcPr>
            <w:tcW w:w="255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638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28"/>
                <w:szCs w:val="28"/>
                <w:lang w:eastAsia="en-US" w:bidi="ar-SA"/>
              </w:rPr>
              <w:t>Компетентності</w:t>
            </w:r>
          </w:p>
        </w:tc>
      </w:tr>
      <w:tr>
        <w:trPr>
          <w:trHeight w:val="2417" w:hRule="atLeast"/>
        </w:trPr>
        <w:tc>
          <w:tcPr>
            <w:tcW w:w="8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>1.</w:t>
            </w:r>
          </w:p>
        </w:tc>
        <w:tc>
          <w:tcPr>
            <w:tcW w:w="255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 xml:space="preserve">Спеціальні </w:t>
            </w: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>компетентності</w:t>
            </w:r>
          </w:p>
        </w:tc>
        <w:tc>
          <w:tcPr>
            <w:tcW w:w="638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28"/>
                <w:szCs w:val="28"/>
                <w:shd w:fill="auto" w:val="clear"/>
                <w:lang w:eastAsia="en-US" w:bidi="ar-SA"/>
              </w:rPr>
              <w:t>СК 01</w:t>
            </w:r>
            <w:r>
              <w:rPr>
                <w:rFonts w:ascii="Times New Roman" w:hAnsi="Times New Roman"/>
                <w:kern w:val="0"/>
                <w:sz w:val="28"/>
                <w:szCs w:val="28"/>
                <w:shd w:fill="auto" w:val="clear"/>
                <w:lang w:eastAsia="en-US" w:bidi="ar-SA"/>
              </w:rPr>
              <w:t xml:space="preserve"> Здатність застосовувати знання зі сфери соціальних комунікацій у своїй професійній діяльності.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28"/>
                <w:szCs w:val="28"/>
                <w:shd w:fill="auto" w:val="clear"/>
                <w:lang w:eastAsia="en-US" w:bidi="ar-SA"/>
              </w:rPr>
              <w:t>СК 02</w:t>
            </w:r>
            <w:r>
              <w:rPr>
                <w:rFonts w:ascii="Times New Roman" w:hAnsi="Times New Roman"/>
                <w:kern w:val="0"/>
                <w:sz w:val="28"/>
                <w:szCs w:val="28"/>
                <w:shd w:fill="auto" w:val="clear"/>
                <w:lang w:eastAsia="en-US" w:bidi="ar-SA"/>
              </w:rPr>
              <w:t xml:space="preserve"> Здатність формувати інформаційний контент.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28"/>
                <w:szCs w:val="28"/>
                <w:shd w:fill="auto" w:val="clear"/>
                <w:lang w:eastAsia="en-US" w:bidi="ar-SA"/>
              </w:rPr>
              <w:t xml:space="preserve">СК 03 </w:t>
            </w:r>
            <w:r>
              <w:rPr>
                <w:rFonts w:ascii="Times New Roman" w:hAnsi="Times New Roman"/>
                <w:kern w:val="0"/>
                <w:sz w:val="28"/>
                <w:szCs w:val="28"/>
                <w:shd w:fill="auto" w:val="clear"/>
                <w:lang w:eastAsia="en-US" w:bidi="ar-SA"/>
              </w:rPr>
              <w:t xml:space="preserve">Здатність створювати медіапродукт.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28"/>
                <w:szCs w:val="28"/>
                <w:shd w:fill="auto" w:val="clear"/>
                <w:lang w:eastAsia="en-US" w:bidi="ar-SA"/>
              </w:rPr>
              <w:t>СК 04</w:t>
            </w:r>
            <w:r>
              <w:rPr>
                <w:rFonts w:ascii="Times New Roman" w:hAnsi="Times New Roman"/>
                <w:kern w:val="0"/>
                <w:sz w:val="28"/>
                <w:szCs w:val="28"/>
                <w:shd w:fill="auto" w:val="clear"/>
                <w:lang w:eastAsia="en-US" w:bidi="ar-SA"/>
              </w:rPr>
              <w:t xml:space="preserve"> Здатність організовувати й контролювати командну професійну діяльність.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28"/>
                <w:szCs w:val="28"/>
                <w:shd w:fill="auto" w:val="clear"/>
                <w:lang w:eastAsia="en-US" w:bidi="ar-SA"/>
              </w:rPr>
              <w:t>СК 05</w:t>
            </w:r>
            <w:r>
              <w:rPr>
                <w:rFonts w:ascii="Times New Roman" w:hAnsi="Times New Roman"/>
                <w:kern w:val="0"/>
                <w:sz w:val="28"/>
                <w:szCs w:val="28"/>
                <w:shd w:fill="auto" w:val="clear"/>
                <w:lang w:eastAsia="en-US" w:bidi="ar-SA"/>
              </w:rPr>
              <w:t xml:space="preserve"> Здатність ефективно просувати створений медійний продукт.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28"/>
                <w:szCs w:val="28"/>
                <w:shd w:fill="auto" w:val="clear"/>
                <w:lang w:eastAsia="en-US" w:bidi="ar-SA"/>
              </w:rPr>
              <w:t>СК 06</w:t>
            </w:r>
            <w:r>
              <w:rPr>
                <w:rFonts w:ascii="Times New Roman" w:hAnsi="Times New Roman"/>
                <w:kern w:val="0"/>
                <w:sz w:val="28"/>
                <w:szCs w:val="28"/>
                <w:shd w:fill="auto" w:val="clear"/>
                <w:lang w:eastAsia="en-US" w:bidi="ar-SA"/>
              </w:rPr>
              <w:t xml:space="preserve"> Здатність до провадження безпечної медіадіяльності.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</w:tr>
      <w:tr>
        <w:trPr/>
        <w:tc>
          <w:tcPr>
            <w:tcW w:w="9747" w:type="dxa"/>
            <w:gridSpan w:val="3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kern w:val="0"/>
                <w:sz w:val="28"/>
                <w:szCs w:val="28"/>
                <w:lang w:eastAsia="en-US" w:bidi="ar-SA"/>
              </w:rPr>
              <w:t>Програмні результати навчання (ПР) (за стандартом)</w:t>
            </w:r>
          </w:p>
        </w:tc>
      </w:tr>
      <w:tr>
        <w:trPr>
          <w:trHeight w:val="6516" w:hRule="atLeast"/>
        </w:trPr>
        <w:tc>
          <w:tcPr>
            <w:tcW w:w="9747" w:type="dxa"/>
            <w:gridSpan w:val="3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 xml:space="preserve">ПРН 01 Пояснювати свої виробничі дії та операції на основі отриманих знань.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 xml:space="preserve">ПРН 02 Застосовувати знання зі сфери предметної спеціалізації для створення інформаційного продукту чи для проведення інформаційної акції.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 xml:space="preserve">ПРН 03 Оцінювати свій чи чужий інформаційний продукт, інформаційну акцію, що організована й проведена самостійно або разом з колегами.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 xml:space="preserve">ПРН 04 Виконувати пошук, оброблення та аналіз інформації з різних джерел.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 xml:space="preserve">ПРН 05 Використовувати сучасні інформаційні й комунікаційні технології та спеціалізоване програмне забезпечення для вирішення професійних завдань. 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 xml:space="preserve">ПРН 06 Планувати свою діяльність та діяльність колективу з урахуванням цілей, обмежень та передбачуваних ризиків.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 xml:space="preserve">ПРН 07 Координувати виконання особистого завдання із завданнями колег.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 xml:space="preserve">ПРН 08 Виокремлювати у виробничих ситуаціях факти, події, відомості, процеси, про які бракує знань, і розкривати способи та джерела здобування тих знань.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 xml:space="preserve">ПРН 09 Оцінювати діяльність колег як носіїв прав і обов’язків членів суспільства, представників громадянського суспільства.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 xml:space="preserve">ПРН 10 Оцінювати діяльність колег з точки зору зберігання та примноження суспільних і культурних цінностей і досягнень.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 xml:space="preserve">ПРН 11 Вільно спілкуватися з професійних питань, включаючи усну, письмову та електронну комунікацію, українською мовою.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 xml:space="preserve">ПРН 12 Вільно спілкуватися з професійних питань, включаючи усну, письмову та електронну комунікацію, іноземною мовою.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 xml:space="preserve">ПРН 13 Передбачати реакцію аудиторії на інформаційний продукт чи на інформаційні акції, зважаючи на положення й методи соціальнокомунікаційних наук.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 xml:space="preserve">ПРН 14 Генерувати інформаційний контент за заданою темою з використанням доступних, а також обовʼязкових джерел інформації.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 xml:space="preserve">ПРН 15 Створювати грамотний медіапродукт на задану тему, визначеного жанру, з урахуванням каналу поширення чи платформи оприлюднення.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 xml:space="preserve">ПРН 16 Планувати свою роботу та роботу колег, спрямовану як на генерування інформаційного контенту, так і створення медіапродукту, а також його промоцію.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 xml:space="preserve">ПРН 17 Розміщувати оперативну інформацію про свій медіапродукт на доступних інтернет-платформах.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eastAsia="en-US" w:bidi="ar-SA"/>
              </w:rPr>
              <w:t xml:space="preserve">ПРН 18 Використовувати необхідні знання й технології для виходу з кризових комунікаційний ситуацій на засадах толерантності, діалогу й співробітництва.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/>
            </w:r>
          </w:p>
        </w:tc>
      </w:tr>
    </w:tbl>
    <w:p>
      <w:pPr>
        <w:pStyle w:val="Style30"/>
        <w:spacing w:lineRule="auto" w:line="240"/>
        <w:ind w:left="0" w:right="0"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 курсу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Змістовий модуль 1. Загальна теорія конфлікту.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1. Конфлікт: загальні та особливі характеристики.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2. Психологічна феноменологія конфліктів.</w:t>
      </w:r>
    </w:p>
    <w:p>
      <w:pPr>
        <w:pStyle w:val="Normal"/>
        <w:spacing w:lineRule="auto" w:line="240" w:before="0" w:after="0"/>
        <w:ind w:left="540" w:hanging="0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Змістовий модуль 2. Психологічні причини конфліктів та особистість.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3. Психологічні причини конфліктів.</w:t>
      </w:r>
      <w:r>
        <w:rPr>
          <w:rFonts w:ascii="Times New Roman" w:hAnsi="Times New Roman"/>
          <w:bCs/>
          <w:sz w:val="28"/>
          <w:szCs w:val="28"/>
        </w:rPr>
        <w:t xml:space="preserve"> 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4. Внутрішньоособистісні конфлікти.</w:t>
      </w:r>
      <w:r>
        <w:rPr>
          <w:rFonts w:ascii="Times New Roman" w:hAnsi="Times New Roman"/>
          <w:bCs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ind w:left="540" w:hanging="0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Змістовий модуль 3. Конфлікти у взаємодії людей.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5. Міжособистісні конфлікти.</w:t>
      </w:r>
      <w:r>
        <w:rPr>
          <w:rFonts w:ascii="Times New Roman" w:hAnsi="Times New Roman"/>
          <w:bCs/>
          <w:sz w:val="28"/>
          <w:szCs w:val="28"/>
        </w:rPr>
        <w:t xml:space="preserve"> 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6. Конфлікти у різних сферах і формах взаємодії людей.</w:t>
      </w:r>
      <w:r>
        <w:rPr>
          <w:rFonts w:ascii="Times New Roman" w:hAnsi="Times New Roman"/>
          <w:bCs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ind w:left="540" w:hanging="0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Змістовий модуль 4. Теорія та практика управління конфліктами.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7. Управління конфліктами.</w:t>
      </w:r>
      <w:r>
        <w:rPr>
          <w:rFonts w:ascii="Times New Roman" w:hAnsi="Times New Roman"/>
          <w:bCs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8. Профілактика конфліктів.</w:t>
      </w:r>
      <w:r>
        <w:rPr>
          <w:rFonts w:ascii="Times New Roman" w:hAnsi="Times New Roman"/>
          <w:bCs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eastAsia="Times New Roman" w:ascii="Times New Roman" w:hAnsi="Times New Roman"/>
          <w:b/>
          <w:sz w:val="28"/>
          <w:szCs w:val="28"/>
          <w:lang w:eastAsia="ru-RU"/>
        </w:rPr>
        <w:t>Методи навчання:</w:t>
      </w:r>
    </w:p>
    <w:p>
      <w:pPr>
        <w:pStyle w:val="3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 w:val="false"/>
          <w:color w:val="000000"/>
          <w:sz w:val="28"/>
          <w:szCs w:val="28"/>
        </w:rPr>
        <w:t>- словесні: пояснення, лекція, бесіда;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 наочні: ілюстрування, самостійне спостереження;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 практичні: вправи, практичні роботи;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 методи оволодіння знаннями, формування умінь і навичок, застосування отриманих знань, умінь і навичок;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 пояснювально-ілюстративні, репродуктивні, проблемного викладу, частково-пошукові;</w:t>
      </w:r>
    </w:p>
    <w:p>
      <w:pPr>
        <w:pStyle w:val="Normal"/>
        <w:tabs>
          <w:tab w:val="clear" w:pos="708"/>
          <w:tab w:val="left" w:pos="-180" w:leader="none"/>
        </w:tabs>
        <w:spacing w:lineRule="auto" w:line="240" w:before="0" w:after="0"/>
        <w:jc w:val="both"/>
        <w:rPr/>
      </w:pPr>
      <w:r>
        <w:rPr>
          <w:rStyle w:val="Strong"/>
          <w:rFonts w:ascii="Times New Roman" w:hAnsi="Times New Roman"/>
          <w:color w:val="000000"/>
          <w:sz w:val="28"/>
          <w:szCs w:val="28"/>
        </w:rPr>
        <w:t xml:space="preserve">- </w:t>
      </w:r>
      <w:r>
        <w:rPr>
          <w:rStyle w:val="Strong"/>
          <w:rFonts w:ascii="Times New Roman" w:hAnsi="Times New Roman"/>
          <w:b w:val="false"/>
          <w:color w:val="000000"/>
          <w:sz w:val="28"/>
          <w:szCs w:val="28"/>
        </w:rPr>
        <w:t>методи стимулювання навчальної діяльності:</w:t>
      </w:r>
      <w:r>
        <w:rPr>
          <w:rStyle w:val="Strong"/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методи навчальної дискусії, пізнавальних ігор, створення ситуації інтересу в процесі викладання навчального матеріалу, створення ситуації новизни навчального матеріалу, опори на життєвий досвід здобувачів;</w:t>
      </w:r>
    </w:p>
    <w:p>
      <w:pPr>
        <w:pStyle w:val="Normal"/>
        <w:tabs>
          <w:tab w:val="clear" w:pos="708"/>
          <w:tab w:val="left" w:pos="-180" w:leader="none"/>
        </w:tabs>
        <w:spacing w:lineRule="auto" w:line="240" w:before="0" w:after="0"/>
        <w:jc w:val="both"/>
        <w:rPr/>
      </w:pPr>
      <w:r>
        <w:rPr>
          <w:rStyle w:val="Strong"/>
          <w:rFonts w:ascii="Times New Roman" w:hAnsi="Times New Roman"/>
          <w:color w:val="000000"/>
          <w:sz w:val="28"/>
          <w:szCs w:val="28"/>
        </w:rPr>
        <w:t xml:space="preserve">- </w:t>
      </w:r>
      <w:r>
        <w:rPr>
          <w:rStyle w:val="Strong"/>
          <w:rFonts w:ascii="Times New Roman" w:hAnsi="Times New Roman"/>
          <w:b w:val="false"/>
          <w:color w:val="000000"/>
          <w:sz w:val="28"/>
          <w:szCs w:val="28"/>
        </w:rPr>
        <w:t>методи контролю і самоконтролю у навчанні:</w:t>
      </w:r>
      <w:r>
        <w:rPr>
          <w:rStyle w:val="Strong"/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метод усного контролю (основне запитання, додаткові, допоміжні; запитання у вигляді проблеми; індивідуальне, фронтальне опитування і комбіноване), метод письмового контролю; метод тестового контролю;</w:t>
      </w:r>
    </w:p>
    <w:p>
      <w:pPr>
        <w:pStyle w:val="NormalWeb"/>
        <w:shd w:val="clear" w:color="auto" w:fill="FFFFFF"/>
        <w:spacing w:lineRule="auto" w:line="240" w:beforeAutospacing="0" w:before="0" w:afterAutospacing="0" w:after="0"/>
        <w:jc w:val="both"/>
        <w:rPr>
          <w:rFonts w:ascii="Times New Roman" w:hAnsi="Times New Roman"/>
          <w:sz w:val="28"/>
          <w:szCs w:val="28"/>
        </w:rPr>
      </w:pPr>
      <w:r>
        <w:rPr>
          <w:color w:val="000000"/>
          <w:sz w:val="28"/>
          <w:szCs w:val="28"/>
        </w:rPr>
        <w:t xml:space="preserve">- методи викладання: інформаційно-повідомляючий, пояснювальний, інструктивно-практичний, пояснювально-спонукаючий; </w:t>
      </w:r>
    </w:p>
    <w:p>
      <w:pPr>
        <w:pStyle w:val="NormalWeb"/>
        <w:shd w:val="clear" w:color="auto" w:fill="FFFFFF"/>
        <w:spacing w:lineRule="auto" w:line="240" w:beforeAutospacing="0" w:before="0" w:afterAutospacing="0" w:after="0"/>
        <w:jc w:val="both"/>
        <w:rPr>
          <w:rFonts w:ascii="Times New Roman" w:hAnsi="Times New Roman"/>
          <w:sz w:val="28"/>
          <w:szCs w:val="28"/>
        </w:rPr>
      </w:pPr>
      <w:r>
        <w:rPr>
          <w:color w:val="000000"/>
          <w:sz w:val="28"/>
          <w:szCs w:val="28"/>
        </w:rPr>
        <w:t>- методи навчання: виконавчий, репродуктивний (відтворюючий),  продуктивно-практичний; частково-пошуковий;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 психологічний дебрифінг.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Політика курсу (особливості проведення навчальних занять):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Політика щодо дедлайнів та перескладання.</w:t>
      </w:r>
      <w:r>
        <w:rPr>
          <w:rFonts w:ascii="Times New Roman" w:hAnsi="Times New Roman"/>
          <w:sz w:val="28"/>
          <w:szCs w:val="28"/>
        </w:rPr>
        <w:t xml:space="preserve"> Своєчасне виконання практичних завдань та самостійної роботи є обов’язковим. Роботи, які здаються із порушенням термінів без поважних причин, оцінюються на нижчу оцінку. Відпрацювання тем курсу, що були пропущені або не підготовлені, відбувається на консультаціях згідно графіку.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Політика щодо академічної доброчесності.</w:t>
      </w:r>
      <w:r>
        <w:rPr>
          <w:rFonts w:ascii="Times New Roman" w:hAnsi="Times New Roman"/>
          <w:sz w:val="28"/>
          <w:szCs w:val="28"/>
        </w:rPr>
        <w:t xml:space="preserve"> Дотримання норм академічної доброчесності є загальною вимогою для студентів БДПУ згідно з Положенням про академічну доброчесність у БДПУ. Очікується, що роботи студентів будуть їх оригінальними дослідженнями чи міркуваннями. Відсутність посилань на використані джерела, фабрикування джерел, списування, втручання в роботу інших студентів становлять, але не обмежують приклади можливої академічної недоброчесності. Виявлення ознак академічної недоброчесності в письмовій роботі студента є підставою для її незарахування викладачем, незалежно від масштабів плагіату чи обману. При повторних порушеннях, беручи до уваги моральний аспект проблеми, до студента можуть бути застосовані дисциплінарні заходи.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Політика щодо відвідування.</w:t>
      </w:r>
      <w:r>
        <w:rPr>
          <w:rFonts w:ascii="Times New Roman" w:hAnsi="Times New Roman"/>
          <w:sz w:val="28"/>
          <w:szCs w:val="28"/>
        </w:rPr>
        <w:t xml:space="preserve"> Очікується, що всі здобувачі вищої освіти відвідають лекційні та практичні заняття курсу. За об’єктивних причин (хвороба, працевлаштування, міжнародне стажування тощо) навчання може відбуватись в он-лайн формі за погодженням із викладачем. Студенти мають інформувати викладача про неможливість відвідати заняття. У будь-якому випадку студенти зобов’язані дотримуватися термінів, визначених для виконання усіх видів письмових робіт, передбачених курсом.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shd w:val="clear" w:color="auto" w:fill="FFFFFF"/>
        <w:spacing w:lineRule="auto" w:line="2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Технічне й програмне забезпечення/обладнання, наочність: </w:t>
      </w:r>
      <w:r>
        <w:rPr>
          <w:rFonts w:ascii="Times New Roman" w:hAnsi="Times New Roman"/>
          <w:sz w:val="28"/>
          <w:szCs w:val="28"/>
        </w:rPr>
        <w:t>Вивчення курсу  передбачає використання ТЗН (мультимедійний проектор, екран, ноутбук тощо), офіційних каналів зв’язку (Viber, Google, Zoom, Skype, електронна пошта тощо) та освітніх платформ (</w:t>
      </w:r>
      <w:r>
        <w:rPr>
          <w:rFonts w:ascii="Times New Roman" w:hAnsi="Times New Roman"/>
          <w:sz w:val="28"/>
          <w:szCs w:val="28"/>
          <w:lang w:val="en-US"/>
        </w:rPr>
        <w:t>MOODLE</w:t>
      </w:r>
      <w:r>
        <w:rPr>
          <w:rFonts w:ascii="Times New Roman" w:hAnsi="Times New Roman"/>
          <w:sz w:val="28"/>
          <w:szCs w:val="28"/>
        </w:rPr>
        <w:t xml:space="preserve">, Всеосвіта та ін.). </w:t>
      </w:r>
    </w:p>
    <w:p>
      <w:pPr>
        <w:pStyle w:val="Normal"/>
        <w:shd w:val="clear" w:color="auto" w:fill="FFFFFF"/>
        <w:spacing w:lineRule="auto" w:line="2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Система оцінювання та вимоги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677"/>
        <w:gridCol w:w="4677"/>
      </w:tblGrid>
      <w:tr>
        <w:trPr/>
        <w:tc>
          <w:tcPr>
            <w:tcW w:w="4677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sz w:val="28"/>
                <w:szCs w:val="28"/>
              </w:rPr>
              <w:t>Оцінка за університетською шкалою</w:t>
            </w:r>
          </w:p>
        </w:tc>
        <w:tc>
          <w:tcPr>
            <w:tcW w:w="4677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sz w:val="28"/>
                <w:szCs w:val="28"/>
              </w:rPr>
              <w:t>Оцінка за шкалою ЄКТС</w:t>
            </w:r>
          </w:p>
        </w:tc>
      </w:tr>
      <w:tr>
        <w:trPr/>
        <w:tc>
          <w:tcPr>
            <w:tcW w:w="4677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</w:rPr>
              <w:t>90-100</w:t>
            </w:r>
          </w:p>
        </w:tc>
        <w:tc>
          <w:tcPr>
            <w:tcW w:w="4677" w:type="dxa"/>
            <w:tcBorders/>
          </w:tcPr>
          <w:p>
            <w:pPr>
              <w:pStyle w:val="Style31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</w:rPr>
              <w:t>А</w:t>
            </w:r>
          </w:p>
        </w:tc>
      </w:tr>
      <w:tr>
        <w:trPr/>
        <w:tc>
          <w:tcPr>
            <w:tcW w:w="4677" w:type="dxa"/>
            <w:tcBorders/>
          </w:tcPr>
          <w:p>
            <w:pPr>
              <w:pStyle w:val="Style31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</w:rPr>
              <w:t>78-89</w:t>
            </w:r>
          </w:p>
        </w:tc>
        <w:tc>
          <w:tcPr>
            <w:tcW w:w="4677" w:type="dxa"/>
            <w:tcBorders/>
          </w:tcPr>
          <w:p>
            <w:pPr>
              <w:pStyle w:val="Style31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</w:rPr>
              <w:t>В</w:t>
            </w:r>
          </w:p>
        </w:tc>
      </w:tr>
      <w:tr>
        <w:trPr/>
        <w:tc>
          <w:tcPr>
            <w:tcW w:w="4677" w:type="dxa"/>
            <w:tcBorders/>
          </w:tcPr>
          <w:p>
            <w:pPr>
              <w:pStyle w:val="Style31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</w:rPr>
              <w:t>65-77</w:t>
            </w:r>
          </w:p>
        </w:tc>
        <w:tc>
          <w:tcPr>
            <w:tcW w:w="4677" w:type="dxa"/>
            <w:tcBorders/>
          </w:tcPr>
          <w:p>
            <w:pPr>
              <w:pStyle w:val="Style31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</w:rPr>
              <w:t>С</w:t>
            </w:r>
          </w:p>
        </w:tc>
      </w:tr>
      <w:tr>
        <w:trPr/>
        <w:tc>
          <w:tcPr>
            <w:tcW w:w="4677" w:type="dxa"/>
            <w:tcBorders/>
          </w:tcPr>
          <w:p>
            <w:pPr>
              <w:pStyle w:val="Style31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</w:rPr>
              <w:t>58-64</w:t>
            </w:r>
          </w:p>
        </w:tc>
        <w:tc>
          <w:tcPr>
            <w:tcW w:w="4677" w:type="dxa"/>
            <w:tcBorders/>
          </w:tcPr>
          <w:p>
            <w:pPr>
              <w:pStyle w:val="Style31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  <w:lang w:val="en-US"/>
              </w:rPr>
              <w:t>D</w:t>
            </w:r>
          </w:p>
        </w:tc>
      </w:tr>
      <w:tr>
        <w:trPr/>
        <w:tc>
          <w:tcPr>
            <w:tcW w:w="4677" w:type="dxa"/>
            <w:tcBorders/>
          </w:tcPr>
          <w:p>
            <w:pPr>
              <w:pStyle w:val="Style31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  <w:lang w:val="en-US"/>
              </w:rPr>
              <w:t>50-57</w:t>
            </w:r>
          </w:p>
        </w:tc>
        <w:tc>
          <w:tcPr>
            <w:tcW w:w="4677" w:type="dxa"/>
            <w:tcBorders/>
          </w:tcPr>
          <w:p>
            <w:pPr>
              <w:pStyle w:val="Style31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  <w:lang w:val="en-US"/>
              </w:rPr>
              <w:t>E</w:t>
            </w:r>
          </w:p>
        </w:tc>
      </w:tr>
      <w:tr>
        <w:trPr/>
        <w:tc>
          <w:tcPr>
            <w:tcW w:w="4677" w:type="dxa"/>
            <w:tcBorders/>
          </w:tcPr>
          <w:p>
            <w:pPr>
              <w:pStyle w:val="Style31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  <w:lang w:val="en-US"/>
              </w:rPr>
              <w:t>35-49</w:t>
            </w:r>
          </w:p>
        </w:tc>
        <w:tc>
          <w:tcPr>
            <w:tcW w:w="4677" w:type="dxa"/>
            <w:tcBorders/>
          </w:tcPr>
          <w:p>
            <w:pPr>
              <w:pStyle w:val="Style31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  <w:lang w:val="en-US"/>
              </w:rPr>
              <w:t>FX</w:t>
            </w:r>
          </w:p>
          <w:p>
            <w:pPr>
              <w:pStyle w:val="Style31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8"/>
                <w:szCs w:val="28"/>
                <w:lang w:val="en-US"/>
              </w:rPr>
              <w:t>(з можливістю повторного складання)</w:t>
            </w:r>
          </w:p>
        </w:tc>
      </w:tr>
      <w:tr>
        <w:trPr/>
        <w:tc>
          <w:tcPr>
            <w:tcW w:w="4677" w:type="dxa"/>
            <w:tcBorders/>
          </w:tcPr>
          <w:p>
            <w:pPr>
              <w:pStyle w:val="Style31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  <w:lang w:val="en-US"/>
              </w:rPr>
              <w:t>1-34</w:t>
            </w:r>
          </w:p>
        </w:tc>
        <w:tc>
          <w:tcPr>
            <w:tcW w:w="4677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</w:rPr>
              <w:t>F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8"/>
                <w:szCs w:val="28"/>
              </w:rPr>
              <w:t>(з обов’язковим повторним вивченням ОК)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Рейтингові бали за виконання різних видів навчальних завдань</w:t>
      </w:r>
    </w:p>
    <w:p>
      <w:pPr>
        <w:pStyle w:val="Normal"/>
        <w:widowControl w:val="false"/>
        <w:spacing w:lineRule="auto" w:line="240" w:before="0" w:after="0"/>
        <w:ind w:left="720" w:hanging="0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widowControl w:val="false"/>
        <w:numPr>
          <w:ilvl w:val="0"/>
          <w:numId w:val="6"/>
        </w:numPr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Відповідь та активність на практичному занятті - до 3 балів.</w:t>
      </w:r>
    </w:p>
    <w:p>
      <w:pPr>
        <w:pStyle w:val="Style22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b/>
          <w:sz w:val="28"/>
          <w:szCs w:val="28"/>
          <w:lang w:val="uk-UA"/>
        </w:rPr>
        <w:t xml:space="preserve">3 бали - </w:t>
      </w:r>
      <w:r>
        <w:rPr>
          <w:sz w:val="28"/>
          <w:szCs w:val="28"/>
          <w:lang w:val="uk-UA"/>
        </w:rPr>
        <w:t>систематичні та глибокі знання програмового матеріалу з теми; послідовне, логічне та повне розкриття змісту питань; вільне володіння термінологією; наведення прикладів; правильні відповіді на додаткові питання; висвітлювання додаткової наукової інформації (виступи, реферати, презентації).</w:t>
      </w:r>
    </w:p>
    <w:p>
      <w:pPr>
        <w:pStyle w:val="Style22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b/>
          <w:sz w:val="28"/>
          <w:szCs w:val="28"/>
          <w:lang w:val="uk-UA"/>
        </w:rPr>
        <w:t>2 бали</w:t>
      </w:r>
      <w:r>
        <w:rPr>
          <w:sz w:val="28"/>
          <w:szCs w:val="28"/>
          <w:lang w:val="uk-UA"/>
        </w:rPr>
        <w:t xml:space="preserve"> - систематичні та глибокі знання програмового матеріалу з теми; послідовне, логічне та повне розкриття змісту питань; вільне володіння термінологією; наведення прикладів; правильні відповіді на додаткові питання. </w:t>
      </w:r>
    </w:p>
    <w:p>
      <w:pPr>
        <w:pStyle w:val="Style22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b/>
          <w:sz w:val="28"/>
          <w:szCs w:val="28"/>
        </w:rPr>
        <w:t>1 бал</w:t>
      </w:r>
      <w:r>
        <w:rPr>
          <w:sz w:val="28"/>
          <w:szCs w:val="28"/>
        </w:rPr>
        <w:t xml:space="preserve"> – прогалини у знаннях програмового матеріалу з теми, помилки у розкритті змісту питань, труднощі у розкритті змісту основних понять теми, відсутня активність при обговоренні питань теми. </w:t>
      </w:r>
    </w:p>
    <w:p>
      <w:pPr>
        <w:pStyle w:val="Style22"/>
        <w:spacing w:lineRule="auto" w:line="240" w:before="0" w:after="0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Style22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b/>
          <w:sz w:val="28"/>
          <w:szCs w:val="28"/>
        </w:rPr>
        <w:t>2. Виконання самостійної роботи - до 2 бала.</w:t>
      </w:r>
    </w:p>
    <w:p>
      <w:pPr>
        <w:pStyle w:val="Style22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b/>
          <w:sz w:val="28"/>
          <w:szCs w:val="28"/>
        </w:rPr>
        <w:t xml:space="preserve">2  бали – </w:t>
      </w:r>
      <w:r>
        <w:rPr>
          <w:sz w:val="28"/>
          <w:szCs w:val="28"/>
        </w:rPr>
        <w:t>послідовне, логічне та повне виконання завдань самостійної роботи, творчий підхід до їх виконання, використання додаткової наукової інформації, наявність висновків та їх інтерпретація.</w:t>
      </w:r>
    </w:p>
    <w:p>
      <w:pPr>
        <w:pStyle w:val="Style22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b/>
          <w:sz w:val="28"/>
          <w:szCs w:val="28"/>
        </w:rPr>
        <w:t xml:space="preserve">1 бал – </w:t>
      </w:r>
      <w:r>
        <w:rPr>
          <w:sz w:val="28"/>
          <w:szCs w:val="28"/>
        </w:rPr>
        <w:t>виконання завдань самостійної роботи не в повному обсязі, поверховий виклад матеріалу та відсутність власних думок, відсутність логічних висновків.</w:t>
      </w:r>
    </w:p>
    <w:p>
      <w:pPr>
        <w:pStyle w:val="Style22"/>
        <w:spacing w:lineRule="auto" w:line="240" w:before="0" w:after="0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Style22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b/>
          <w:sz w:val="28"/>
          <w:szCs w:val="28"/>
        </w:rPr>
        <w:t>4. Екзамен – до 50 балів.</w:t>
      </w:r>
    </w:p>
    <w:p>
      <w:pPr>
        <w:pStyle w:val="Style22"/>
        <w:spacing w:lineRule="auto" w:line="240" w:before="0" w:after="0"/>
        <w:jc w:val="both"/>
        <w:rPr>
          <w:rFonts w:ascii="Times New Roman" w:hAnsi="Times New Roman" w:eastAsia="Calibri"/>
          <w:b/>
          <w:b/>
          <w:sz w:val="28"/>
          <w:szCs w:val="28"/>
        </w:rPr>
      </w:pPr>
      <w:r>
        <w:rPr>
          <w:rFonts w:eastAsia="Calibri"/>
          <w:b/>
          <w:sz w:val="28"/>
          <w:szCs w:val="28"/>
        </w:rPr>
      </w:r>
    </w:p>
    <w:p>
      <w:pPr>
        <w:pStyle w:val="Style22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b/>
          <w:i/>
          <w:iCs/>
          <w:sz w:val="28"/>
          <w:szCs w:val="28"/>
        </w:rPr>
        <w:t>Примітка</w:t>
      </w:r>
      <w:r>
        <w:rPr>
          <w:i/>
          <w:iCs/>
          <w:sz w:val="28"/>
          <w:szCs w:val="28"/>
        </w:rPr>
        <w:t>.</w:t>
      </w:r>
      <w:r>
        <w:rPr>
          <w:sz w:val="28"/>
          <w:szCs w:val="28"/>
        </w:rPr>
        <w:t xml:space="preserve"> У разі отримання здобувачами неформальної (тренінги, майстер-класи, семінари, вебінари та ін.) та інформальної освіти (відеолекції, медіа-консультації, читання спеціалізованої літератури та ін.), її результати зараховуються згідно з темами, передбаченими даною програмою, при наявності відповідного документа (сертифіката).</w:t>
      </w:r>
    </w:p>
    <w:p>
      <w:pPr>
        <w:pStyle w:val="Style22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sz w:val="28"/>
          <w:szCs w:val="28"/>
        </w:rPr>
      </w:r>
    </w:p>
    <w:p>
      <w:pPr>
        <w:pStyle w:val="Style22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Список рекомендованих джерел 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bidi w:val="0"/>
        <w:spacing w:lineRule="auto" w:line="240"/>
        <w:jc w:val="center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Базова</w:t>
      </w:r>
    </w:p>
    <w:p>
      <w:pPr>
        <w:pStyle w:val="ListParagraph"/>
        <w:numPr>
          <w:ilvl w:val="0"/>
          <w:numId w:val="2"/>
        </w:numPr>
        <w:bidi w:val="0"/>
        <w:spacing w:lineRule="auto" w:line="240"/>
        <w:ind w:left="36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Дученко М. М., Шевчук О. А. Конфліктологія. Практикум : навч. посіб. для студ. спеціальності 051 «Економіка» освітньою програмою «Управління персоналом та економіка праці». Київ : КПІ ім. Ігоря Сікорського, 2020. 88 с.</w:t>
      </w:r>
    </w:p>
    <w:p>
      <w:pPr>
        <w:pStyle w:val="ListParagraph"/>
        <w:numPr>
          <w:ilvl w:val="0"/>
          <w:numId w:val="2"/>
        </w:numPr>
        <w:bidi w:val="0"/>
        <w:spacing w:lineRule="auto" w:line="240"/>
        <w:ind w:left="36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Єременко Л. В. Конфліктологія : навчальний посібник. Мелітополь : ФОП Однорог Т. В., 2018. 219 с.</w:t>
      </w:r>
    </w:p>
    <w:p>
      <w:pPr>
        <w:pStyle w:val="ListParagraph"/>
        <w:numPr>
          <w:ilvl w:val="0"/>
          <w:numId w:val="2"/>
        </w:numPr>
        <w:bidi w:val="0"/>
        <w:spacing w:lineRule="auto" w:line="240"/>
        <w:ind w:left="36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Конфліктологія : загальна та юридична : підручник / Л. М. Герасіна,                  М. П. Требін, О. М. Сахань, В. Д. Воднік; за заг. ред. Л. М. Герасіної. Харків : Право, 2021. 224 с.</w:t>
      </w:r>
    </w:p>
    <w:p>
      <w:pPr>
        <w:pStyle w:val="ListParagraph"/>
        <w:numPr>
          <w:ilvl w:val="0"/>
          <w:numId w:val="2"/>
        </w:numPr>
        <w:bidi w:val="0"/>
        <w:spacing w:lineRule="auto" w:line="240"/>
        <w:ind w:left="36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Конфліктологія : курс лекцій, енциклопедія, програма, таблиці. Ужгород : Видавництво УжНУ «Говерла», 2020. 360 с.</w:t>
      </w:r>
    </w:p>
    <w:p>
      <w:pPr>
        <w:pStyle w:val="ListParagraph"/>
        <w:numPr>
          <w:ilvl w:val="0"/>
          <w:numId w:val="2"/>
        </w:numPr>
        <w:bidi w:val="0"/>
        <w:spacing w:lineRule="auto" w:line="240"/>
        <w:ind w:left="36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Матвійчук Т. Ф. Конфліктологія : навчально-методичний посібник. Львів : Вид-во «ГАЛИЧ-ПРЕС», 2018. 76 с.</w:t>
      </w:r>
    </w:p>
    <w:p>
      <w:pPr>
        <w:pStyle w:val="ListParagraph"/>
        <w:numPr>
          <w:ilvl w:val="0"/>
          <w:numId w:val="2"/>
        </w:numPr>
        <w:bidi w:val="0"/>
        <w:spacing w:lineRule="auto" w:line="240"/>
        <w:ind w:left="36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Петрінко В. С. Конфліктологія : курс лекцій, енциклопедія, програма, таблиці. Навчальний посібник. Ужгород : Видавництво УжНУ «Говерла», 2020. 360 с.</w:t>
      </w:r>
    </w:p>
    <w:p>
      <w:pPr>
        <w:pStyle w:val="ListParagraph"/>
        <w:numPr>
          <w:ilvl w:val="0"/>
          <w:numId w:val="2"/>
        </w:numPr>
        <w:bidi w:val="0"/>
        <w:spacing w:lineRule="auto" w:line="240"/>
        <w:ind w:left="36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Цюрупа, М. В. Основи конфліктології та теорії переговорів [Текст] : навч. посіб. Київ : Кондор, 2015. 172 с.</w:t>
      </w:r>
    </w:p>
    <w:p>
      <w:pPr>
        <w:pStyle w:val="ListParagraph"/>
        <w:numPr>
          <w:ilvl w:val="0"/>
          <w:numId w:val="2"/>
        </w:numPr>
        <w:bidi w:val="0"/>
        <w:spacing w:lineRule="auto" w:line="240"/>
        <w:ind w:left="36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Яхно. Т., Куревіна І. Конфліктологія та теорія переговорів : навч. посіб. </w:t>
      </w:r>
      <w:r>
        <w:rPr>
          <w:rFonts w:ascii="Times New Roman" w:hAnsi="Times New Roman"/>
          <w:sz w:val="28"/>
          <w:szCs w:val="28"/>
          <w:lang w:val="ru-RU"/>
        </w:rPr>
        <w:t xml:space="preserve">Київ : </w:t>
      </w:r>
      <w:r>
        <w:rPr>
          <w:rFonts w:ascii="Times New Roman" w:hAnsi="Times New Roman"/>
          <w:sz w:val="28"/>
          <w:szCs w:val="28"/>
        </w:rPr>
        <w:t xml:space="preserve">Центр учбової літератури, 2021. 168 с.  </w:t>
      </w:r>
    </w:p>
    <w:p>
      <w:pPr>
        <w:pStyle w:val="Normal"/>
        <w:bidi w:val="0"/>
        <w:spacing w:lineRule="auto" w:line="24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                                                       </w:t>
      </w:r>
      <w:r>
        <w:rPr>
          <w:rFonts w:cs="Times New Roman" w:ascii="Times New Roman" w:hAnsi="Times New Roman"/>
          <w:b/>
          <w:iCs/>
          <w:sz w:val="28"/>
          <w:szCs w:val="28"/>
        </w:rPr>
        <w:t>Допоміжна</w:t>
      </w:r>
    </w:p>
    <w:p>
      <w:pPr>
        <w:pStyle w:val="ListParagraph"/>
        <w:numPr>
          <w:ilvl w:val="0"/>
          <w:numId w:val="3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iCs/>
          <w:sz w:val="28"/>
          <w:szCs w:val="28"/>
        </w:rPr>
        <w:t>Ануфрієва Н. М. Психологія конфлікту : навч. посіб. Київ : Ін-т післядипломної освіти КНУ, 2005. 101 с.</w:t>
      </w:r>
    </w:p>
    <w:p>
      <w:pPr>
        <w:pStyle w:val="ListParagraph"/>
        <w:numPr>
          <w:ilvl w:val="0"/>
          <w:numId w:val="3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iCs/>
          <w:sz w:val="28"/>
          <w:szCs w:val="28"/>
        </w:rPr>
        <w:t>Ващенко І. В., Гіренко С. П. Загальна конфліктологія : навч. посіб. 2-ге вид. Харків : Оригінал, 2001. 384 с.</w:t>
      </w:r>
    </w:p>
    <w:p>
      <w:pPr>
        <w:pStyle w:val="ListParagraph"/>
        <w:numPr>
          <w:ilvl w:val="0"/>
          <w:numId w:val="3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Гуменюк Л. Й. Соціальна конфліктологія: підручник. Львів : Львівський державний університет внутрішніх справ, 2015. 564 с.</w:t>
      </w:r>
    </w:p>
    <w:p>
      <w:pPr>
        <w:pStyle w:val="ListParagraph"/>
        <w:numPr>
          <w:ilvl w:val="0"/>
          <w:numId w:val="3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iCs/>
          <w:sz w:val="28"/>
          <w:szCs w:val="28"/>
        </w:rPr>
        <w:t>Долинська Л. В., Матяш-Заяц Л. П. Психологія конфлікту. Київ : Каравела, 2010. 304 с.</w:t>
      </w:r>
    </w:p>
    <w:p>
      <w:pPr>
        <w:pStyle w:val="ListParagraph"/>
        <w:numPr>
          <w:ilvl w:val="0"/>
          <w:numId w:val="3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iCs/>
          <w:sz w:val="28"/>
          <w:szCs w:val="28"/>
        </w:rPr>
        <w:t xml:space="preserve">Дуткевич Т. В. </w:t>
      </w:r>
      <w:r>
        <w:rPr>
          <w:rFonts w:cs="Times New Roman" w:ascii="Times New Roman" w:hAnsi="Times New Roman"/>
          <w:sz w:val="28"/>
          <w:szCs w:val="28"/>
        </w:rPr>
        <w:t>Конфліктологія з основами психології управління : навчальний посібник. Київ : Центр навчальної літератури, 2005. 456 с.</w:t>
      </w:r>
    </w:p>
    <w:p>
      <w:pPr>
        <w:pStyle w:val="ListParagraph"/>
        <w:numPr>
          <w:ilvl w:val="0"/>
          <w:numId w:val="3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Конфліктологія : навч. посіб. / Л. М. Герасіна, М. П. Требін, В. Д. Воднік та ін. Харків : Право, 2012. 128 с.</w:t>
      </w:r>
    </w:p>
    <w:p>
      <w:pPr>
        <w:pStyle w:val="ListParagraph"/>
        <w:numPr>
          <w:ilvl w:val="0"/>
          <w:numId w:val="3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iCs/>
          <w:sz w:val="28"/>
          <w:szCs w:val="28"/>
        </w:rPr>
        <w:t xml:space="preserve">Ложкін Г. </w:t>
      </w:r>
      <w:r>
        <w:rPr>
          <w:rFonts w:cs="Times New Roman" w:ascii="Times New Roman" w:hAnsi="Times New Roman"/>
          <w:sz w:val="28"/>
          <w:szCs w:val="28"/>
        </w:rPr>
        <w:t xml:space="preserve">В., </w:t>
      </w:r>
      <w:r>
        <w:rPr>
          <w:rFonts w:cs="Times New Roman" w:ascii="Times New Roman" w:hAnsi="Times New Roman"/>
          <w:iCs/>
          <w:sz w:val="28"/>
          <w:szCs w:val="28"/>
        </w:rPr>
        <w:t>Пов</w:t>
      </w:r>
      <w:r>
        <w:rPr>
          <w:rFonts w:cs="Times New Roman" w:ascii="Times New Roman" w:hAnsi="Times New Roman"/>
          <w:sz w:val="28"/>
          <w:szCs w:val="28"/>
        </w:rPr>
        <w:t>’</w:t>
      </w:r>
      <w:r>
        <w:rPr>
          <w:rFonts w:cs="Times New Roman" w:ascii="Times New Roman" w:hAnsi="Times New Roman"/>
          <w:iCs/>
          <w:sz w:val="28"/>
          <w:szCs w:val="28"/>
        </w:rPr>
        <w:t>якель</w:t>
      </w:r>
      <w:r>
        <w:rPr>
          <w:rFonts w:cs="Times New Roman" w:ascii="Times New Roman" w:hAnsi="Times New Roman"/>
          <w:sz w:val="28"/>
          <w:szCs w:val="28"/>
        </w:rPr>
        <w:t xml:space="preserve"> Н. І. Психологія конфлікту : теорія і сучасна практика : навчальний посібник. Київ : ВД «Професіонал», 2007. 416 с.</w:t>
      </w:r>
    </w:p>
    <w:p>
      <w:pPr>
        <w:pStyle w:val="ListParagraph"/>
        <w:numPr>
          <w:ilvl w:val="0"/>
          <w:numId w:val="3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iCs/>
          <w:sz w:val="28"/>
          <w:szCs w:val="28"/>
        </w:rPr>
        <w:t>Нагаєв В. М.</w:t>
      </w:r>
      <w:r>
        <w:rPr>
          <w:rFonts w:cs="Times New Roman" w:ascii="Times New Roman" w:hAnsi="Times New Roman"/>
          <w:sz w:val="28"/>
          <w:szCs w:val="28"/>
        </w:rPr>
        <w:t xml:space="preserve"> Конфліктологія : курс лекцій (модульний варіант) : навчальний посібник. Київ : Центр навчальної літератури, 2004. 198 с.</w:t>
      </w:r>
    </w:p>
    <w:p>
      <w:pPr>
        <w:pStyle w:val="ListParagraph"/>
        <w:numPr>
          <w:ilvl w:val="0"/>
          <w:numId w:val="3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bCs/>
          <w:sz w:val="28"/>
          <w:szCs w:val="28"/>
        </w:rPr>
        <w:t>Пірен М. І.</w:t>
      </w:r>
      <w:r>
        <w:rPr>
          <w:rFonts w:cs="Times New Roman" w:ascii="Times New Roman" w:hAnsi="Times New Roman"/>
          <w:b/>
          <w:bCs/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>Конфліктологія : підручник. Київ : МАУП, 2003. 360 с.</w:t>
      </w:r>
    </w:p>
    <w:p>
      <w:pPr>
        <w:pStyle w:val="ListParagraph"/>
        <w:numPr>
          <w:ilvl w:val="0"/>
          <w:numId w:val="3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  <w:lang w:eastAsia="en-US"/>
        </w:rPr>
        <w:t xml:space="preserve"> </w:t>
      </w:r>
      <w:r>
        <w:rPr>
          <w:rFonts w:cs="Times New Roman" w:ascii="Times New Roman" w:hAnsi="Times New Roman"/>
          <w:sz w:val="28"/>
          <w:szCs w:val="28"/>
          <w:lang w:eastAsia="en-US"/>
        </w:rPr>
        <w:t>Приходько Ю. О., Юрченко В. І. Психологічний словник-довідник : навч. посіб. Київ : Каравелла, 2012. 328 с.</w:t>
      </w:r>
    </w:p>
    <w:p>
      <w:pPr>
        <w:pStyle w:val="ListParagraph"/>
        <w:numPr>
          <w:ilvl w:val="0"/>
          <w:numId w:val="3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>Скібіцька Л. Конфліктологія : навч. посіб. для студ. вищих навч. закл. Київ : Центр учбової літератури, 2007. 383 с.</w:t>
      </w:r>
    </w:p>
    <w:p>
      <w:pPr>
        <w:pStyle w:val="ListParagraph"/>
        <w:numPr>
          <w:ilvl w:val="0"/>
          <w:numId w:val="3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>Філоненко М. М. Психологія спілкування : підруч. для вищ. навч. закл. Київ : Центр учбової літератури, 2008. 224 с.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Інтернет-ресурси</w:t>
      </w:r>
    </w:p>
    <w:p>
      <w:pPr>
        <w:pStyle w:val="Normal"/>
        <w:spacing w:lineRule="auto" w:line="240" w:before="0" w:after="0"/>
        <w:ind w:left="0" w:right="0" w:hanging="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pacing w:val="-20"/>
          <w:sz w:val="28"/>
          <w:szCs w:val="28"/>
          <w:lang w:val="uk-UA"/>
        </w:rPr>
        <w:t>1. http://chitalka.info/psy.html – Електронні підручники онлайн «Психологія».</w:t>
      </w:r>
    </w:p>
    <w:p>
      <w:pPr>
        <w:pStyle w:val="Normal"/>
        <w:spacing w:lineRule="auto" w:line="240" w:before="0" w:after="0"/>
        <w:ind w:left="0" w:right="0" w:hanging="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pacing w:val="-20"/>
          <w:sz w:val="28"/>
          <w:szCs w:val="28"/>
          <w:lang w:val="uk-UA"/>
        </w:rPr>
        <w:t>2. http://osvita.ua/school/psychology/ – освіта. ua.</w:t>
      </w:r>
    </w:p>
    <w:p>
      <w:pPr>
        <w:pStyle w:val="Normal"/>
        <w:spacing w:lineRule="auto" w:line="240" w:before="0" w:after="0"/>
        <w:ind w:left="0" w:right="0" w:hanging="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pacing w:val="-20"/>
          <w:sz w:val="28"/>
          <w:szCs w:val="28"/>
          <w:lang w:val="uk-UA"/>
        </w:rPr>
        <w:t>3. http//www.meta-ukraine.com – Мета – українська пошукова система.</w:t>
      </w:r>
    </w:p>
    <w:p>
      <w:pPr>
        <w:pStyle w:val="Normal"/>
        <w:spacing w:lineRule="auto" w:line="240" w:before="0" w:after="0"/>
        <w:ind w:left="0" w:right="0" w:hanging="0"/>
        <w:jc w:val="both"/>
        <w:rPr/>
      </w:pPr>
      <w:r>
        <w:rPr>
          <w:rFonts w:cs="Times New Roman" w:ascii="Times New Roman" w:hAnsi="Times New Roman"/>
          <w:spacing w:val="-20"/>
          <w:sz w:val="28"/>
          <w:szCs w:val="28"/>
          <w:lang w:val="uk-UA"/>
        </w:rPr>
        <w:t xml:space="preserve">4. </w:t>
      </w:r>
      <w:hyperlink r:id="rId3">
        <w:r>
          <w:rPr>
            <w:rFonts w:cs="Times New Roman" w:ascii="Times New Roman" w:hAnsi="Times New Roman"/>
            <w:spacing w:val="-20"/>
            <w:sz w:val="28"/>
            <w:szCs w:val="28"/>
            <w:lang w:val="uk-UA"/>
          </w:rPr>
          <w:t>http://management.com.ua</w:t>
        </w:r>
      </w:hyperlink>
      <w:r>
        <w:rPr>
          <w:rFonts w:cs="Times New Roman" w:ascii="Times New Roman" w:hAnsi="Times New Roman"/>
          <w:spacing w:val="-20"/>
          <w:sz w:val="28"/>
          <w:szCs w:val="28"/>
          <w:lang w:val="uk-UA"/>
        </w:rPr>
        <w:t>.</w:t>
      </w:r>
    </w:p>
    <w:p>
      <w:pPr>
        <w:pStyle w:val="Normal"/>
        <w:spacing w:lineRule="auto" w:line="240" w:before="0" w:after="0"/>
        <w:ind w:left="0" w:right="0" w:hanging="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pacing w:val="-20"/>
          <w:sz w:val="28"/>
          <w:szCs w:val="28"/>
          <w:lang w:val="uk-UA"/>
        </w:rPr>
        <w:t>5. http//www.google.com – пошукова система Google.</w:t>
      </w:r>
    </w:p>
    <w:p>
      <w:pPr>
        <w:pStyle w:val="Normal"/>
        <w:spacing w:lineRule="auto" w:line="240" w:before="0" w:after="0"/>
        <w:ind w:left="0" w:right="0" w:hanging="0"/>
        <w:jc w:val="both"/>
        <w:rPr/>
      </w:pPr>
      <w:r>
        <w:rPr>
          <w:rStyle w:val="Style12"/>
          <w:rFonts w:cs="Times New Roman" w:ascii="Times New Roman" w:hAnsi="Times New Roman"/>
          <w:color w:val="000000"/>
          <w:spacing w:val="-20"/>
          <w:sz w:val="28"/>
          <w:szCs w:val="28"/>
          <w:lang w:val="uk-UA"/>
        </w:rPr>
        <w:t xml:space="preserve">6. </w:t>
      </w:r>
      <w:hyperlink r:id="rId4">
        <w:r>
          <w:rPr>
            <w:rFonts w:cs="Times New Roman" w:ascii="Times New Roman" w:hAnsi="Times New Roman"/>
            <w:color w:val="000000"/>
            <w:sz w:val="28"/>
            <w:szCs w:val="28"/>
            <w:lang w:val="uk-UA"/>
          </w:rPr>
          <w:t>http://edu.bdpu.org</w:t>
        </w:r>
      </w:hyperlink>
      <w:r>
        <w:rPr>
          <w:rFonts w:cs="Times New Roman" w:ascii="Times New Roman" w:hAnsi="Times New Roman"/>
          <w:color w:val="000000"/>
          <w:sz w:val="28"/>
          <w:szCs w:val="28"/>
          <w:lang w:val="uk-UA"/>
        </w:rPr>
        <w:t>.</w:t>
      </w:r>
    </w:p>
    <w:p>
      <w:pPr>
        <w:pStyle w:val="Style22"/>
        <w:tabs>
          <w:tab w:val="clear" w:pos="708"/>
          <w:tab w:val="left" w:pos="709" w:leader="none"/>
        </w:tabs>
        <w:spacing w:lineRule="auto" w:line="240" w:before="0" w:after="0"/>
        <w:ind w:left="720" w:right="0" w:hanging="0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360" w:hanging="0"/>
        <w:jc w:val="both"/>
        <w:rPr>
          <w:rFonts w:ascii="Times New Roman" w:hAnsi="Times New Roman"/>
          <w:sz w:val="28"/>
          <w:szCs w:val="28"/>
        </w:rPr>
      </w:pPr>
      <w:r>
        <w:rPr/>
      </w:r>
    </w:p>
    <w:sectPr>
      <w:type w:val="nextPage"/>
      <w:pgSz w:w="11906" w:h="16838"/>
      <w:pgMar w:left="1701" w:right="850" w:gutter="0" w:header="0" w:top="1134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erif">
    <w:altName w:val="Times New Roman"/>
    <w:charset w:val="cc"/>
    <w:family w:val="swiss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Courier New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Segoe UI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4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68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0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9b2b98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uk-UA" w:eastAsia="en-US" w:bidi="ar-SA"/>
    </w:rPr>
  </w:style>
  <w:style w:type="paragraph" w:styleId="1">
    <w:name w:val="Heading 1"/>
    <w:basedOn w:val="Style21"/>
    <w:next w:val="Style22"/>
    <w:qFormat/>
    <w:pPr>
      <w:numPr>
        <w:ilvl w:val="0"/>
        <w:numId w:val="1"/>
      </w:numPr>
      <w:spacing w:before="240" w:after="120"/>
      <w:outlineLvl w:val="0"/>
    </w:pPr>
    <w:rPr>
      <w:rFonts w:ascii="Liberation Serif;Times New Roman" w:hAnsi="Liberation Serif;Times New Roman" w:eastAsia="Segoe UI" w:cs="Tahoma"/>
      <w:b/>
      <w:bCs/>
      <w:sz w:val="48"/>
      <w:szCs w:val="48"/>
    </w:rPr>
  </w:style>
  <w:style w:type="paragraph" w:styleId="3">
    <w:name w:val="Heading 3"/>
    <w:basedOn w:val="Normal"/>
    <w:next w:val="Normal"/>
    <w:link w:val="31"/>
    <w:uiPriority w:val="9"/>
    <w:semiHidden/>
    <w:unhideWhenUsed/>
    <w:qFormat/>
    <w:rsid w:val="009b2b98"/>
    <w:pPr>
      <w:keepNext w:val="true"/>
      <w:spacing w:lineRule="auto" w:line="240" w:before="240" w:after="60"/>
      <w:outlineLvl w:val="2"/>
    </w:pPr>
    <w:rPr>
      <w:rFonts w:ascii="Cambria" w:hAnsi="Cambria" w:eastAsia="Times New Roman"/>
      <w:b/>
      <w:bCs/>
      <w:sz w:val="26"/>
      <w:szCs w:val="26"/>
      <w:lang w:val="ru-RU" w:eastAsia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31" w:customStyle="1">
    <w:name w:val="Заголовок 3 Знак"/>
    <w:basedOn w:val="DefaultParagraphFont"/>
    <w:uiPriority w:val="9"/>
    <w:semiHidden/>
    <w:qFormat/>
    <w:rsid w:val="009b2b98"/>
    <w:rPr>
      <w:rFonts w:ascii="Cambria" w:hAnsi="Cambria" w:eastAsia="Times New Roman" w:cs="Times New Roman"/>
      <w:b/>
      <w:bCs/>
      <w:sz w:val="26"/>
      <w:szCs w:val="26"/>
      <w:lang w:eastAsia="ru-RU"/>
    </w:rPr>
  </w:style>
  <w:style w:type="character" w:styleId="FontStyle29" w:customStyle="1">
    <w:name w:val="Font Style29"/>
    <w:uiPriority w:val="99"/>
    <w:qFormat/>
    <w:rsid w:val="009b2b98"/>
    <w:rPr>
      <w:rFonts w:ascii="Times New Roman" w:hAnsi="Times New Roman" w:cs="Times New Roman"/>
      <w:sz w:val="20"/>
      <w:szCs w:val="20"/>
    </w:rPr>
  </w:style>
  <w:style w:type="character" w:styleId="FontStyle30" w:customStyle="1">
    <w:name w:val="Font Style30"/>
    <w:uiPriority w:val="99"/>
    <w:qFormat/>
    <w:rsid w:val="009b2b98"/>
    <w:rPr>
      <w:rFonts w:ascii="Times New Roman" w:hAnsi="Times New Roman" w:cs="Times New Roman"/>
      <w:b/>
      <w:bCs/>
      <w:sz w:val="20"/>
      <w:szCs w:val="20"/>
    </w:rPr>
  </w:style>
  <w:style w:type="character" w:styleId="FontStyle32" w:customStyle="1">
    <w:name w:val="Font Style32"/>
    <w:uiPriority w:val="99"/>
    <w:qFormat/>
    <w:rsid w:val="009b2b98"/>
    <w:rPr>
      <w:rFonts w:ascii="Times New Roman" w:hAnsi="Times New Roman" w:cs="Times New Roman"/>
      <w:b/>
      <w:bCs/>
      <w:sz w:val="20"/>
      <w:szCs w:val="20"/>
    </w:rPr>
  </w:style>
  <w:style w:type="character" w:styleId="Style12">
    <w:name w:val="Hyperlink"/>
    <w:semiHidden/>
    <w:unhideWhenUsed/>
    <w:rsid w:val="009b2b98"/>
    <w:rPr>
      <w:color w:val="0000FF"/>
      <w:u w:val="single"/>
    </w:rPr>
  </w:style>
  <w:style w:type="character" w:styleId="Style13" w:customStyle="1">
    <w:name w:val="Основной текст Знак"/>
    <w:basedOn w:val="DefaultParagraphFont"/>
    <w:qFormat/>
    <w:rsid w:val="009b2b98"/>
    <w:rPr>
      <w:rFonts w:ascii="Times New Roman" w:hAnsi="Times New Roman" w:eastAsia="Times New Roman" w:cs="Times New Roman"/>
      <w:sz w:val="28"/>
      <w:szCs w:val="24"/>
      <w:lang w:eastAsia="ru-RU"/>
    </w:rPr>
  </w:style>
  <w:style w:type="character" w:styleId="Strong">
    <w:name w:val="Strong"/>
    <w:uiPriority w:val="22"/>
    <w:qFormat/>
    <w:rsid w:val="009b2b98"/>
    <w:rPr>
      <w:b/>
      <w:bCs/>
    </w:rPr>
  </w:style>
  <w:style w:type="character" w:styleId="FontStyle31" w:customStyle="1">
    <w:name w:val="Font Style31"/>
    <w:uiPriority w:val="99"/>
    <w:qFormat/>
    <w:rsid w:val="009b2b98"/>
    <w:rPr>
      <w:rFonts w:ascii="Times New Roman" w:hAnsi="Times New Roman" w:cs="Times New Roman"/>
      <w:i/>
      <w:iCs/>
      <w:sz w:val="20"/>
      <w:szCs w:val="20"/>
    </w:rPr>
  </w:style>
  <w:style w:type="character" w:styleId="Style14" w:customStyle="1">
    <w:name w:val="Текст выноски Знак"/>
    <w:basedOn w:val="DefaultParagraphFont"/>
    <w:link w:val="BalloonText"/>
    <w:uiPriority w:val="99"/>
    <w:semiHidden/>
    <w:qFormat/>
    <w:rsid w:val="009b2b98"/>
    <w:rPr>
      <w:rFonts w:ascii="Tahoma" w:hAnsi="Tahoma" w:eastAsia="Calibri" w:cs="Tahoma"/>
      <w:sz w:val="16"/>
      <w:szCs w:val="16"/>
      <w:lang w:val="uk-UA"/>
    </w:rPr>
  </w:style>
  <w:style w:type="character" w:styleId="PlaceholderText">
    <w:name w:val="Placeholder Text"/>
    <w:qFormat/>
    <w:rPr>
      <w:rFonts w:ascii="Times New Roman" w:hAnsi="Times New Roman" w:eastAsia="Times New Roman" w:cs="Times New Roman"/>
      <w:color w:val="808080"/>
      <w:sz w:val="24"/>
      <w:szCs w:val="24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12z0">
    <w:name w:val="WW8Num12z0"/>
    <w:qFormat/>
    <w:rPr>
      <w:color w:val="000000"/>
    </w:rPr>
  </w:style>
  <w:style w:type="character" w:styleId="WW8Num14z0">
    <w:name w:val="WW8Num14z0"/>
    <w:qFormat/>
    <w:rPr/>
  </w:style>
  <w:style w:type="character" w:styleId="WW8Num16z0">
    <w:name w:val="WW8Num16z0"/>
    <w:qFormat/>
    <w:rPr/>
  </w:style>
  <w:style w:type="character" w:styleId="11">
    <w:name w:val="Заголовок 1 Знак"/>
    <w:qFormat/>
    <w:rPr>
      <w:rFonts w:eastAsia="Times New Roman" w:cs="Times New Roman"/>
      <w:sz w:val="32"/>
      <w:szCs w:val="24"/>
      <w:lang w:val="uk-UA"/>
    </w:rPr>
  </w:style>
  <w:style w:type="character" w:styleId="2">
    <w:name w:val="Заголовок 2 Знак"/>
    <w:qFormat/>
    <w:rPr>
      <w:rFonts w:ascii="Arial" w:hAnsi="Arial" w:eastAsia="Times New Roman" w:cs="Arial"/>
      <w:b/>
      <w:bCs/>
      <w:i/>
      <w:iCs/>
      <w:szCs w:val="28"/>
    </w:rPr>
  </w:style>
  <w:style w:type="character" w:styleId="4">
    <w:name w:val="Заголовок 4 Знак"/>
    <w:qFormat/>
    <w:rPr>
      <w:rFonts w:eastAsia="Times New Roman" w:cs="Times New Roman"/>
      <w:b/>
      <w:bCs/>
      <w:szCs w:val="24"/>
      <w:lang w:val="uk-UA"/>
    </w:rPr>
  </w:style>
  <w:style w:type="character" w:styleId="7">
    <w:name w:val="Заголовок 7 Знак"/>
    <w:qFormat/>
    <w:rPr>
      <w:rFonts w:eastAsia="Times New Roman" w:cs="Times New Roman"/>
      <w:b/>
      <w:bCs/>
      <w:szCs w:val="24"/>
      <w:lang w:val="uk-UA"/>
    </w:rPr>
  </w:style>
  <w:style w:type="character" w:styleId="8">
    <w:name w:val="Заголовок 8 Знак"/>
    <w:qFormat/>
    <w:rPr>
      <w:rFonts w:eastAsia="Times New Roman" w:cs="Times New Roman"/>
      <w:caps/>
      <w:sz w:val="40"/>
      <w:szCs w:val="24"/>
      <w:lang w:val="uk-UA"/>
    </w:rPr>
  </w:style>
  <w:style w:type="character" w:styleId="32">
    <w:name w:val="Основной текст с отступом 3 Знак"/>
    <w:qFormat/>
    <w:rPr>
      <w:rFonts w:eastAsia="Times New Roman" w:cs="Times New Roman"/>
      <w:szCs w:val="24"/>
      <w:lang w:val="uk-UA"/>
    </w:rPr>
  </w:style>
  <w:style w:type="character" w:styleId="Style15">
    <w:name w:val="Нижний колонтитул Знак"/>
    <w:qFormat/>
    <w:rPr>
      <w:rFonts w:eastAsia="Times New Roman" w:cs="Times New Roman"/>
      <w:szCs w:val="24"/>
    </w:rPr>
  </w:style>
  <w:style w:type="character" w:styleId="33">
    <w:name w:val="Основной текст 3 Знак"/>
    <w:qFormat/>
    <w:rPr>
      <w:rFonts w:eastAsia="Times New Roman" w:cs="Times New Roman"/>
      <w:sz w:val="16"/>
      <w:szCs w:val="16"/>
    </w:rPr>
  </w:style>
  <w:style w:type="character" w:styleId="Style16">
    <w:name w:val="Верхний колонтитул Знак"/>
    <w:qFormat/>
    <w:rPr>
      <w:rFonts w:eastAsia="Times New Roman" w:cs="Times New Roman"/>
      <w:sz w:val="24"/>
      <w:szCs w:val="24"/>
      <w:lang w:val="uk-UA"/>
    </w:rPr>
  </w:style>
  <w:style w:type="character" w:styleId="FontStyle156">
    <w:name w:val="Font Style156"/>
    <w:qFormat/>
    <w:rPr>
      <w:rFonts w:ascii="Times New Roman" w:hAnsi="Times New Roman" w:cs="Times New Roman"/>
      <w:sz w:val="16"/>
      <w:szCs w:val="16"/>
    </w:rPr>
  </w:style>
  <w:style w:type="character" w:styleId="Rvts0">
    <w:name w:val="rvts0"/>
    <w:qFormat/>
    <w:rPr/>
  </w:style>
  <w:style w:type="character" w:styleId="Style17">
    <w:name w:val="Основной текст с отступом Знак"/>
    <w:qFormat/>
    <w:rPr>
      <w:sz w:val="22"/>
      <w:szCs w:val="22"/>
    </w:rPr>
  </w:style>
  <w:style w:type="character" w:styleId="41">
    <w:name w:val="Заголовок №4_"/>
    <w:qFormat/>
    <w:rPr>
      <w:b/>
      <w:bCs/>
      <w:sz w:val="19"/>
      <w:szCs w:val="19"/>
      <w:shd w:fill="FFFFFF" w:val="clear"/>
    </w:rPr>
  </w:style>
  <w:style w:type="character" w:styleId="Style18">
    <w:name w:val="Основной текст_"/>
    <w:qFormat/>
    <w:rPr>
      <w:sz w:val="19"/>
      <w:szCs w:val="19"/>
      <w:shd w:fill="FFFFFF" w:val="clear"/>
    </w:rPr>
  </w:style>
  <w:style w:type="character" w:styleId="Style19">
    <w:name w:val="Текст концевой сноски Знак"/>
    <w:qFormat/>
    <w:rPr>
      <w:rFonts w:ascii="Times New Roman" w:hAnsi="Times New Roman" w:eastAsia="Times New Roman" w:cs="Times New Roman"/>
      <w:lang w:val="ru-RU"/>
    </w:rPr>
  </w:style>
  <w:style w:type="character" w:styleId="Style20">
    <w:name w:val="Основной шрифт абзаца"/>
    <w:qFormat/>
    <w:rPr/>
  </w:style>
  <w:style w:type="character" w:styleId="WW8Num13z1">
    <w:name w:val="WW8Num13z1"/>
    <w:qFormat/>
    <w:rPr>
      <w:rFonts w:ascii="Courier New" w:hAnsi="Courier New" w:cs="Courier New"/>
    </w:rPr>
  </w:style>
  <w:style w:type="character" w:styleId="WW8Num13z0">
    <w:name w:val="WW8Num13z0"/>
    <w:qFormat/>
    <w:rPr>
      <w:rFonts w:ascii="Times New Roman" w:hAnsi="Times New Roman" w:cs="Times New Roman"/>
    </w:rPr>
  </w:style>
  <w:style w:type="character" w:styleId="WW8Num11z0">
    <w:name w:val="WW8Num11z0"/>
    <w:qFormat/>
    <w:rPr>
      <w:b w:val="false"/>
    </w:rPr>
  </w:style>
  <w:style w:type="character" w:styleId="WW8Num7z0">
    <w:name w:val="WW8Num7z0"/>
    <w:qFormat/>
    <w:rPr>
      <w:rFonts w:ascii="Times New Roman" w:hAnsi="Times New Roman" w:eastAsia="Calibri" w:cs="Times New Roman"/>
      <w:color w:val="000000"/>
    </w:rPr>
  </w:style>
  <w:style w:type="character" w:styleId="WW8Num6z0">
    <w:name w:val="WW8Num6z0"/>
    <w:qFormat/>
    <w:rPr>
      <w:rFonts w:ascii="Times New Roman" w:hAnsi="Times New Roman" w:eastAsia="Calibri" w:cs="Times New Roman"/>
      <w:color w:val="000000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9z0">
    <w:name w:val="WW8Num9z0"/>
    <w:qFormat/>
    <w:rPr>
      <w:b w:val="false"/>
      <w:color w:val="000000"/>
    </w:rPr>
  </w:style>
  <w:style w:type="character" w:styleId="WW8Num4z0">
    <w:name w:val="WW8Num4z0"/>
    <w:qFormat/>
    <w:rPr>
      <w:b w:val="false"/>
      <w:color w:val="000000"/>
    </w:rPr>
  </w:style>
  <w:style w:type="character" w:styleId="WW8Num1z0">
    <w:name w:val="WW8Num1z0"/>
    <w:qFormat/>
    <w:rPr>
      <w:rFonts w:ascii="Times New Roman" w:hAnsi="Times New Roman" w:eastAsia="Calibri" w:cs="Times New Roman"/>
      <w:color w:val="000000"/>
    </w:rPr>
  </w:style>
  <w:style w:type="character" w:styleId="WW8Num10z0">
    <w:name w:val="WW8Num10z0"/>
    <w:qFormat/>
    <w:rPr>
      <w:b w:val="false"/>
      <w:color w:val="000000"/>
    </w:rPr>
  </w:style>
  <w:style w:type="character" w:styleId="WW8Num5z0">
    <w:name w:val="WW8Num5z0"/>
    <w:qFormat/>
    <w:rPr>
      <w:b w:val="false"/>
      <w:color w:val="000000"/>
    </w:rPr>
  </w:style>
  <w:style w:type="character" w:styleId="WW8Num2z0">
    <w:name w:val="WW8Num2z0"/>
    <w:qFormat/>
    <w:rPr>
      <w:rFonts w:ascii="Times New Roman" w:hAnsi="Times New Roman" w:eastAsia="Calibri" w:cs="Times New Roman"/>
      <w:color w:val="000000"/>
    </w:rPr>
  </w:style>
  <w:style w:type="character" w:styleId="WW8Num8z0">
    <w:name w:val="WW8Num8z0"/>
    <w:qFormat/>
    <w:rPr>
      <w:b w:val="false"/>
      <w:color w:val="000000"/>
    </w:rPr>
  </w:style>
  <w:style w:type="character" w:styleId="WW8Num3z0">
    <w:name w:val="WW8Num3z0"/>
    <w:qFormat/>
    <w:rPr>
      <w:b w:val="false"/>
      <w:color w:val="000000"/>
    </w:rPr>
  </w:style>
  <w:style w:type="paragraph" w:styleId="Style21">
    <w:name w:val="Заголовок"/>
    <w:basedOn w:val="Normal"/>
    <w:next w:val="Style22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22">
    <w:name w:val="Body Text"/>
    <w:basedOn w:val="Normal"/>
    <w:link w:val="Style13"/>
    <w:unhideWhenUsed/>
    <w:rsid w:val="009b2b98"/>
    <w:pPr>
      <w:spacing w:lineRule="auto" w:line="240" w:before="0" w:after="120"/>
    </w:pPr>
    <w:rPr>
      <w:rFonts w:ascii="Times New Roman" w:hAnsi="Times New Roman" w:eastAsia="Times New Roman"/>
      <w:sz w:val="28"/>
      <w:szCs w:val="24"/>
      <w:lang w:val="ru-RU" w:eastAsia="ru-RU"/>
    </w:rPr>
  </w:style>
  <w:style w:type="paragraph" w:styleId="Style23">
    <w:name w:val="List"/>
    <w:basedOn w:val="Style22"/>
    <w:pPr/>
    <w:rPr>
      <w:rFonts w:cs="Arial"/>
    </w:rPr>
  </w:style>
  <w:style w:type="paragraph" w:styleId="Style24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5">
    <w:name w:val="Покажчик"/>
    <w:basedOn w:val="Normal"/>
    <w:qFormat/>
    <w:pPr>
      <w:suppressLineNumbers/>
    </w:pPr>
    <w:rPr>
      <w:rFonts w:cs="Arial"/>
      <w:lang w:val="zxx" w:eastAsia="zxx" w:bidi="zxx"/>
    </w:rPr>
  </w:style>
  <w:style w:type="paragraph" w:styleId="ListParagraph">
    <w:name w:val="List Paragraph"/>
    <w:basedOn w:val="Normal"/>
    <w:uiPriority w:val="34"/>
    <w:qFormat/>
    <w:rsid w:val="009b2b98"/>
    <w:pPr>
      <w:spacing w:lineRule="auto" w:line="276" w:before="0" w:after="200"/>
      <w:ind w:left="720" w:hanging="0"/>
      <w:contextualSpacing/>
    </w:pPr>
    <w:rPr>
      <w:rFonts w:eastAsia="Times New Roman"/>
      <w:lang w:val="ru-RU" w:eastAsia="ru-RU"/>
    </w:rPr>
  </w:style>
  <w:style w:type="paragraph" w:styleId="NormalWeb">
    <w:name w:val="Normal (Web)"/>
    <w:basedOn w:val="Normal"/>
    <w:uiPriority w:val="99"/>
    <w:unhideWhenUsed/>
    <w:qFormat/>
    <w:rsid w:val="009b2b98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val="ru-RU" w:eastAsia="ru-RU"/>
    </w:rPr>
  </w:style>
  <w:style w:type="paragraph" w:styleId="Style121" w:customStyle="1">
    <w:name w:val="Style12"/>
    <w:basedOn w:val="Normal"/>
    <w:uiPriority w:val="99"/>
    <w:qFormat/>
    <w:rsid w:val="009b2b98"/>
    <w:pPr>
      <w:widowControl w:val="false"/>
      <w:spacing w:lineRule="auto" w:line="240" w:before="0" w:after="0"/>
    </w:pPr>
    <w:rPr>
      <w:rFonts w:ascii="Times New Roman" w:hAnsi="Times New Roman" w:eastAsia="Times New Roman"/>
      <w:sz w:val="24"/>
      <w:szCs w:val="24"/>
      <w:lang w:val="ru-RU" w:eastAsia="ru-RU"/>
    </w:rPr>
  </w:style>
  <w:style w:type="paragraph" w:styleId="Style191" w:customStyle="1">
    <w:name w:val="Style19"/>
    <w:basedOn w:val="Normal"/>
    <w:uiPriority w:val="99"/>
    <w:qFormat/>
    <w:rsid w:val="009b2b98"/>
    <w:pPr>
      <w:widowControl w:val="false"/>
      <w:spacing w:lineRule="exact" w:line="278" w:before="0" w:after="0"/>
      <w:ind w:firstLine="720"/>
    </w:pPr>
    <w:rPr>
      <w:rFonts w:ascii="Times New Roman" w:hAnsi="Times New Roman" w:eastAsia="Times New Roman"/>
      <w:sz w:val="24"/>
      <w:szCs w:val="24"/>
      <w:lang w:val="ru-RU" w:eastAsia="ru-RU"/>
    </w:rPr>
  </w:style>
  <w:style w:type="paragraph" w:styleId="BalloonText">
    <w:name w:val="Balloon Text"/>
    <w:basedOn w:val="Normal"/>
    <w:link w:val="Style14"/>
    <w:uiPriority w:val="99"/>
    <w:semiHidden/>
    <w:unhideWhenUsed/>
    <w:qFormat/>
    <w:rsid w:val="009b2b98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Style26">
    <w:name w:val="Вміст рамки"/>
    <w:basedOn w:val="Normal"/>
    <w:qFormat/>
    <w:pPr/>
    <w:rPr/>
  </w:style>
  <w:style w:type="paragraph" w:styleId="TableParagraph">
    <w:name w:val="Table Paragraph"/>
    <w:basedOn w:val="Normal"/>
    <w:qFormat/>
    <w:pPr>
      <w:widowControl w:val="false"/>
      <w:ind w:left="103" w:hanging="0"/>
      <w:jc w:val="both"/>
    </w:pPr>
    <w:rPr>
      <w:rFonts w:eastAsia="Times New Roman"/>
      <w:sz w:val="22"/>
      <w:szCs w:val="22"/>
      <w:lang w:val="en-US"/>
    </w:rPr>
  </w:style>
  <w:style w:type="paragraph" w:styleId="Body1">
    <w:name w:val="Body 1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Arial Unicode MS" w:cs="Arial"/>
      <w:color w:val="000000"/>
      <w:kern w:val="2"/>
      <w:sz w:val="24"/>
      <w:szCs w:val="20"/>
      <w:u w:val="none"/>
      <w:lang w:val="cs-CZ" w:eastAsia="zh-CN" w:bidi="hi-IN"/>
    </w:rPr>
  </w:style>
  <w:style w:type="paragraph" w:styleId="34">
    <w:name w:val="Основной текст с отступом 3"/>
    <w:basedOn w:val="Normal"/>
    <w:qFormat/>
    <w:pPr>
      <w:ind w:left="5520" w:hanging="0"/>
      <w:jc w:val="both"/>
    </w:pPr>
    <w:rPr>
      <w:sz w:val="20"/>
    </w:rPr>
  </w:style>
  <w:style w:type="paragraph" w:styleId="35">
    <w:name w:val="Основной текст 3"/>
    <w:basedOn w:val="Normal"/>
    <w:qFormat/>
    <w:pPr>
      <w:spacing w:before="0" w:after="120"/>
    </w:pPr>
    <w:rPr>
      <w:sz w:val="16"/>
      <w:szCs w:val="16"/>
    </w:rPr>
  </w:style>
  <w:style w:type="paragraph" w:styleId="FR1">
    <w:name w:val="FR1"/>
    <w:qFormat/>
    <w:pPr>
      <w:widowControl w:val="false"/>
      <w:suppressAutoHyphens w:val="true"/>
      <w:bidi w:val="0"/>
      <w:spacing w:before="380" w:after="0"/>
      <w:jc w:val="left"/>
    </w:pPr>
    <w:rPr>
      <w:rFonts w:ascii="Arial" w:hAnsi="Arial" w:eastAsia="Times New Roman" w:cs="Arial"/>
      <w:color w:val="auto"/>
      <w:kern w:val="2"/>
      <w:sz w:val="28"/>
      <w:szCs w:val="28"/>
      <w:lang w:val="uk-UA" w:eastAsia="zh-CN" w:bidi="ar-SA"/>
    </w:rPr>
  </w:style>
  <w:style w:type="paragraph" w:styleId="Style101">
    <w:name w:val="Style10"/>
    <w:basedOn w:val="Normal"/>
    <w:qFormat/>
    <w:pPr>
      <w:widowControl w:val="false"/>
    </w:pPr>
    <w:rPr/>
  </w:style>
  <w:style w:type="paragraph" w:styleId="Style151">
    <w:name w:val="Style15"/>
    <w:basedOn w:val="Normal"/>
    <w:qFormat/>
    <w:pPr>
      <w:widowControl w:val="false"/>
    </w:pPr>
    <w:rPr/>
  </w:style>
  <w:style w:type="paragraph" w:styleId="Style161">
    <w:name w:val="Style16"/>
    <w:basedOn w:val="Normal"/>
    <w:qFormat/>
    <w:pPr>
      <w:widowControl w:val="false"/>
    </w:pPr>
    <w:rPr/>
  </w:style>
  <w:style w:type="paragraph" w:styleId="Style79">
    <w:name w:val="Style79"/>
    <w:basedOn w:val="Normal"/>
    <w:qFormat/>
    <w:pPr>
      <w:widowControl w:val="false"/>
      <w:spacing w:lineRule="exact" w:line="187" w:before="0" w:after="0"/>
    </w:pPr>
    <w:rPr>
      <w:rFonts w:ascii="Times New Roman" w:hAnsi="Times New Roman" w:eastAsia="Times New Roman" w:cs="Times New Roman"/>
      <w:lang w:val="ru-RU"/>
    </w:rPr>
  </w:style>
  <w:style w:type="paragraph" w:styleId="12">
    <w:name w:val="Абзац списка1"/>
    <w:basedOn w:val="Normal"/>
    <w:qFormat/>
    <w:pPr>
      <w:spacing w:lineRule="exact" w:line="276" w:before="0" w:after="200"/>
      <w:ind w:left="720" w:hanging="0"/>
      <w:contextualSpacing/>
    </w:pPr>
    <w:rPr>
      <w:rFonts w:eastAsia="Times New Roman"/>
      <w:lang w:val="ru-RU"/>
    </w:rPr>
  </w:style>
  <w:style w:type="paragraph" w:styleId="Style27">
    <w:name w:val="Без интервала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Times New Roman"/>
      <w:color w:val="auto"/>
      <w:kern w:val="2"/>
      <w:sz w:val="22"/>
      <w:szCs w:val="22"/>
      <w:lang w:val="en-US" w:eastAsia="zh-CN" w:bidi="ar-SA"/>
    </w:rPr>
  </w:style>
  <w:style w:type="paragraph" w:styleId="Style181">
    <w:name w:val="Style18"/>
    <w:basedOn w:val="Normal"/>
    <w:qFormat/>
    <w:pPr>
      <w:widowControl w:val="false"/>
      <w:spacing w:lineRule="exact" w:line="274" w:before="0" w:after="0"/>
    </w:pPr>
    <w:rPr>
      <w:rFonts w:ascii="Times New Roman" w:hAnsi="Times New Roman" w:eastAsia="Times New Roman" w:cs="Times New Roman"/>
      <w:lang w:val="ru-RU"/>
    </w:rPr>
  </w:style>
  <w:style w:type="paragraph" w:styleId="FR2">
    <w:name w:val="FR2"/>
    <w:qFormat/>
    <w:pPr>
      <w:widowControl w:val="false"/>
      <w:suppressAutoHyphens w:val="true"/>
      <w:bidi w:val="0"/>
      <w:spacing w:before="220" w:after="0"/>
      <w:ind w:left="40" w:hanging="20"/>
      <w:jc w:val="left"/>
    </w:pPr>
    <w:rPr>
      <w:rFonts w:ascii="Arial" w:hAnsi="Arial" w:eastAsia="Times New Roman" w:cs="Arial"/>
      <w:color w:val="auto"/>
      <w:kern w:val="2"/>
      <w:sz w:val="18"/>
      <w:szCs w:val="18"/>
      <w:lang w:val="uk-UA" w:eastAsia="zh-CN" w:bidi="ar-SA"/>
    </w:rPr>
  </w:style>
  <w:style w:type="paragraph" w:styleId="Style201">
    <w:name w:val="Style20"/>
    <w:basedOn w:val="Normal"/>
    <w:qFormat/>
    <w:pPr>
      <w:widowControl w:val="false"/>
      <w:spacing w:lineRule="exact" w:line="240" w:before="0" w:after="0"/>
    </w:pPr>
    <w:rPr>
      <w:rFonts w:ascii="Times New Roman" w:hAnsi="Times New Roman" w:eastAsia="Times New Roman" w:cs="Times New Roman"/>
      <w:lang w:val="ru-RU"/>
    </w:rPr>
  </w:style>
  <w:style w:type="paragraph" w:styleId="42">
    <w:name w:val="Заголовок №4"/>
    <w:basedOn w:val="Normal"/>
    <w:qFormat/>
    <w:pPr>
      <w:widowControl w:val="false"/>
      <w:shd w:fill="FFFFFF"/>
      <w:spacing w:lineRule="exact" w:line="245" w:before="300" w:after="180"/>
      <w:ind w:hanging="2000"/>
    </w:pPr>
    <w:rPr>
      <w:b/>
      <w:bCs/>
      <w:sz w:val="19"/>
      <w:szCs w:val="19"/>
    </w:rPr>
  </w:style>
  <w:style w:type="paragraph" w:styleId="43">
    <w:name w:val="Основной текст4"/>
    <w:basedOn w:val="Normal"/>
    <w:qFormat/>
    <w:pPr>
      <w:widowControl w:val="false"/>
      <w:shd w:fill="FFFFFF"/>
      <w:spacing w:lineRule="exact" w:line="264" w:before="2340" w:after="0"/>
      <w:ind w:hanging="340"/>
      <w:jc w:val="center"/>
    </w:pPr>
    <w:rPr>
      <w:sz w:val="19"/>
      <w:szCs w:val="19"/>
    </w:rPr>
  </w:style>
  <w:style w:type="paragraph" w:styleId="Style28">
    <w:name w:val="Обычный (веб)"/>
    <w:basedOn w:val="Normal"/>
    <w:qFormat/>
    <w:pPr>
      <w:spacing w:lineRule="exact" w:line="240" w:before="280" w:after="280"/>
    </w:pPr>
    <w:rPr>
      <w:rFonts w:ascii="Times New Roman" w:hAnsi="Times New Roman" w:eastAsia="Times New Roman" w:cs="Times New Roman"/>
      <w:lang w:val="ru-RU"/>
    </w:rPr>
  </w:style>
  <w:style w:type="paragraph" w:styleId="Style29">
    <w:name w:val="Текст выноски"/>
    <w:basedOn w:val="Normal"/>
    <w:qFormat/>
    <w:pPr>
      <w:spacing w:lineRule="exact" w:line="240" w:before="0" w:after="0"/>
    </w:pPr>
    <w:rPr>
      <w:rFonts w:ascii="Segoe UI" w:hAnsi="Segoe UI" w:cs="Segoe UI"/>
      <w:sz w:val="18"/>
      <w:szCs w:val="18"/>
    </w:rPr>
  </w:style>
  <w:style w:type="paragraph" w:styleId="Style30">
    <w:name w:val="Абзац списка"/>
    <w:basedOn w:val="Normal"/>
    <w:qFormat/>
    <w:pPr>
      <w:spacing w:lineRule="exact" w:line="276" w:before="0" w:after="200"/>
      <w:ind w:left="720" w:hanging="0"/>
      <w:contextualSpacing/>
    </w:pPr>
    <w:rPr>
      <w:rFonts w:ascii="Calibri" w:hAnsi="Calibri" w:eastAsia="Times New Roman" w:cs="Times New Roman"/>
      <w:lang w:val="ru-RU"/>
    </w:rPr>
  </w:style>
  <w:style w:type="paragraph" w:styleId="Style31">
    <w:name w:val="Вміст таблиці"/>
    <w:basedOn w:val="Normal"/>
    <w:qFormat/>
    <w:pPr>
      <w:widowControl w:val="false"/>
      <w:suppressLineNumbers/>
    </w:pPr>
    <w:rPr/>
  </w:style>
  <w:style w:type="paragraph" w:styleId="Style32">
    <w:name w:val="Заголовок таблиці"/>
    <w:basedOn w:val="Style31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management.com.ua/" TargetMode="External"/><Relationship Id="rId4" Type="http://schemas.openxmlformats.org/officeDocument/2006/relationships/hyperlink" Target="http://edu.bdpu.org/" TargetMode="Externa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Application>LibreOffice/7.4.2.3$Windows_X86_64 LibreOffice_project/382eef1f22670f7f4118c8c2dd222ec7ad009daf</Application>
  <AppVersion>15.0000</AppVersion>
  <Pages>7</Pages>
  <Words>1561</Words>
  <Characters>10610</Characters>
  <CharactersWithSpaces>12276</CharactersWithSpaces>
  <Paragraphs>160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dc:description/>
  <dc:language>uk-UA</dc:language>
  <cp:lastModifiedBy/>
  <dcterms:modified xsi:type="dcterms:W3CDTF">2024-04-28T12:58:13Z</dcterms:modified>
  <cp:revision>46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