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Style w:val="TableNormal"/>
        <w:tblW w:w="7663" w:type="dxa"/>
        <w:jc w:val="left"/>
        <w:tblInd w:w="179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0" w:lastRow="1" w:firstColumn="1" w:lastColumn="1" w:noHBand="0" w:val="01e0"/>
      </w:tblPr>
      <w:tblGrid>
        <w:gridCol w:w="3550"/>
        <w:gridCol w:w="4112"/>
      </w:tblGrid>
      <w:tr>
        <w:trPr>
          <w:trHeight w:val="1334" w:hRule="atLeast"/>
        </w:trPr>
        <w:tc>
          <w:tcPr>
            <w:tcW w:w="3550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/>
              <w:drawing>
                <wp:inline distT="0" distB="0" distL="0" distR="0">
                  <wp:extent cx="1483995" cy="845820"/>
                  <wp:effectExtent l="0" t="0" r="0" b="0"/>
                  <wp:docPr id="1" name="image1.png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3995" cy="8458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12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1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1165" w:right="50" w:hanging="0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pacing w:val="-2"/>
                <w:kern w:val="0"/>
                <w:sz w:val="20"/>
                <w:szCs w:val="20"/>
                <w:lang w:eastAsia="en-US" w:bidi="ar-SA"/>
              </w:rPr>
              <w:t>Силабус</w:t>
            </w:r>
          </w:p>
          <w:p>
            <w:pPr>
              <w:pStyle w:val="TableParagraph"/>
              <w:widowControl w:val="false"/>
              <w:suppressAutoHyphens w:val="true"/>
              <w:spacing w:before="1" w:after="0"/>
              <w:ind w:left="1167" w:right="5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3366CC"/>
                <w:spacing w:val="-2"/>
                <w:kern w:val="0"/>
                <w:sz w:val="20"/>
                <w:szCs w:val="20"/>
                <w:lang w:eastAsia="en-US" w:bidi="ar-SA"/>
              </w:rPr>
              <w:t>Педагогіка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1171" w:right="5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2023-2024</w:t>
            </w:r>
            <w:r>
              <w:rPr>
                <w:rFonts w:cs="Times New Roman" w:ascii="Times New Roman" w:hAnsi="Times New Roman"/>
                <w:spacing w:val="-12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навчальний</w:t>
            </w:r>
            <w:r>
              <w:rPr>
                <w:rFonts w:cs="Times New Roman" w:ascii="Times New Roman" w:hAnsi="Times New Roman"/>
                <w:spacing w:val="-13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рік</w:t>
            </w:r>
          </w:p>
        </w:tc>
      </w:tr>
    </w:tbl>
    <w:p>
      <w:pPr>
        <w:pStyle w:val="Style18"/>
        <w:spacing w:before="9" w:after="1"/>
        <w:ind w:left="0" w:hanging="0"/>
        <w:jc w:val="lef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tbl>
      <w:tblPr>
        <w:tblStyle w:val="TableNormal"/>
        <w:tblW w:w="9786" w:type="dxa"/>
        <w:jc w:val="left"/>
        <w:tblInd w:w="179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0" w:lastRow="1" w:firstColumn="1" w:lastColumn="1" w:noHBand="0" w:val="01e0"/>
      </w:tblPr>
      <w:tblGrid>
        <w:gridCol w:w="2291"/>
        <w:gridCol w:w="7494"/>
      </w:tblGrid>
      <w:tr>
        <w:trPr>
          <w:trHeight w:val="456" w:hRule="atLeast"/>
        </w:trPr>
        <w:tc>
          <w:tcPr>
            <w:tcW w:w="2291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23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Освітня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програма</w:t>
            </w:r>
          </w:p>
        </w:tc>
        <w:tc>
          <w:tcPr>
            <w:tcW w:w="7494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ind w:left="413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«Середня освіта (українська мова та література)»</w:t>
            </w:r>
          </w:p>
        </w:tc>
      </w:tr>
      <w:tr>
        <w:trPr>
          <w:trHeight w:val="230" w:hRule="atLeast"/>
        </w:trPr>
        <w:tc>
          <w:tcPr>
            <w:tcW w:w="2291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0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Спеціальність</w:t>
            </w:r>
          </w:p>
        </w:tc>
        <w:tc>
          <w:tcPr>
            <w:tcW w:w="7494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10" w:before="0" w:after="0"/>
              <w:ind w:left="413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014 Середня освіта</w:t>
            </w:r>
          </w:p>
        </w:tc>
      </w:tr>
      <w:tr>
        <w:trPr>
          <w:trHeight w:val="304" w:hRule="atLeast"/>
        </w:trPr>
        <w:tc>
          <w:tcPr>
            <w:tcW w:w="2291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Спеціалізація</w:t>
            </w:r>
          </w:p>
        </w:tc>
        <w:tc>
          <w:tcPr>
            <w:tcW w:w="7494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ind w:left="413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014.01 українська мова і література</w:t>
            </w:r>
          </w:p>
        </w:tc>
      </w:tr>
      <w:tr>
        <w:trPr>
          <w:trHeight w:val="229" w:hRule="atLeast"/>
        </w:trPr>
        <w:tc>
          <w:tcPr>
            <w:tcW w:w="2291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9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Галузь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знань</w:t>
            </w:r>
          </w:p>
        </w:tc>
        <w:tc>
          <w:tcPr>
            <w:tcW w:w="7494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ind w:left="413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01 Освіта / Педагогіка</w:t>
            </w:r>
          </w:p>
        </w:tc>
      </w:tr>
      <w:tr>
        <w:trPr>
          <w:trHeight w:val="229" w:hRule="atLeast"/>
        </w:trPr>
        <w:tc>
          <w:tcPr>
            <w:tcW w:w="2291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9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Рівень</w:t>
            </w:r>
            <w:r>
              <w:rPr>
                <w:rFonts w:cs="Times New Roman" w:ascii="Times New Roman" w:hAnsi="Times New Roman"/>
                <w:spacing w:val="-9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вищої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освіти</w:t>
            </w:r>
          </w:p>
        </w:tc>
        <w:tc>
          <w:tcPr>
            <w:tcW w:w="749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9" w:before="0" w:after="0"/>
              <w:ind w:left="413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перший</w:t>
            </w:r>
            <w:r>
              <w:rPr>
                <w:rFonts w:cs="Times New Roman" w:ascii="Times New Roman" w:hAnsi="Times New Roman"/>
                <w:spacing w:val="-12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(бакалаврський)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рівень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вищої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освіти</w:t>
            </w:r>
          </w:p>
        </w:tc>
      </w:tr>
      <w:tr>
        <w:trPr>
          <w:trHeight w:val="226" w:hRule="atLeast"/>
        </w:trPr>
        <w:tc>
          <w:tcPr>
            <w:tcW w:w="2291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6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Статус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дисципліни</w:t>
            </w:r>
          </w:p>
        </w:tc>
        <w:tc>
          <w:tcPr>
            <w:tcW w:w="749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6" w:before="0" w:after="0"/>
              <w:ind w:left="413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обов’язкова</w:t>
            </w:r>
          </w:p>
        </w:tc>
      </w:tr>
    </w:tbl>
    <w:p>
      <w:pPr>
        <w:pStyle w:val="Style18"/>
        <w:spacing w:before="11" w:after="0"/>
        <w:ind w:left="0" w:hanging="0"/>
        <w:jc w:val="lef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tbl>
      <w:tblPr>
        <w:tblStyle w:val="TableNormal"/>
        <w:tblW w:w="9504" w:type="dxa"/>
        <w:jc w:val="left"/>
        <w:tblInd w:w="179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0" w:lastRow="1" w:firstColumn="1" w:lastColumn="1" w:noHBand="0" w:val="01e0"/>
      </w:tblPr>
      <w:tblGrid>
        <w:gridCol w:w="2337"/>
        <w:gridCol w:w="7166"/>
      </w:tblGrid>
      <w:tr>
        <w:trPr>
          <w:trHeight w:val="226" w:hRule="atLeast"/>
        </w:trPr>
        <w:tc>
          <w:tcPr>
            <w:tcW w:w="2337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7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Викладач</w:t>
            </w:r>
          </w:p>
        </w:tc>
        <w:tc>
          <w:tcPr>
            <w:tcW w:w="7166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7" w:before="0" w:after="0"/>
              <w:ind w:left="36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val="ru-RU" w:eastAsia="en-US" w:bidi="ar-SA"/>
              </w:rPr>
              <w:t>Щербакова Над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ія Миколаївна</w:t>
            </w:r>
          </w:p>
        </w:tc>
      </w:tr>
      <w:tr>
        <w:trPr>
          <w:trHeight w:val="230" w:hRule="atLeast"/>
        </w:trPr>
        <w:tc>
          <w:tcPr>
            <w:tcW w:w="2337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1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Кафедра</w:t>
            </w:r>
          </w:p>
        </w:tc>
        <w:tc>
          <w:tcPr>
            <w:tcW w:w="7166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1" w:before="0" w:after="0"/>
              <w:ind w:left="36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педагогіки</w:t>
            </w:r>
          </w:p>
        </w:tc>
      </w:tr>
      <w:tr>
        <w:trPr>
          <w:trHeight w:val="458" w:hRule="atLeast"/>
        </w:trPr>
        <w:tc>
          <w:tcPr>
            <w:tcW w:w="2337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27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Посилання</w:t>
            </w:r>
            <w:r>
              <w:rPr>
                <w:rFonts w:cs="Times New Roman" w:ascii="Times New Roman" w:hAnsi="Times New Roman"/>
                <w:spacing w:val="-9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на</w:t>
            </w:r>
            <w:r>
              <w:rPr>
                <w:rFonts w:cs="Times New Roman" w:ascii="Times New Roman" w:hAnsi="Times New Roman"/>
                <w:spacing w:val="-9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сайт</w:t>
            </w:r>
          </w:p>
        </w:tc>
        <w:tc>
          <w:tcPr>
            <w:tcW w:w="7166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67" w:right="47" w:hanging="0"/>
              <w:jc w:val="lef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hyperlink r:id="rId3">
              <w:r>
                <w:rPr>
                  <w:rFonts w:cs="Times New Roman" w:ascii="Times New Roman" w:hAnsi="Times New Roman"/>
                  <w:kern w:val="0"/>
                  <w:sz w:val="20"/>
                  <w:szCs w:val="20"/>
                  <w:lang w:eastAsia="en-US" w:bidi="ar-SA"/>
                </w:rPr>
                <w:t>https://edu.bdpu.org/course/view.php?id=387</w:t>
              </w:r>
            </w:hyperlink>
          </w:p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67" w:right="4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>
          <w:trHeight w:val="230" w:hRule="atLeast"/>
        </w:trPr>
        <w:tc>
          <w:tcPr>
            <w:tcW w:w="2337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0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Контактний</w:t>
            </w:r>
            <w:r>
              <w:rPr>
                <w:rFonts w:cs="Times New Roman" w:ascii="Times New Roman" w:hAnsi="Times New Roman"/>
                <w:spacing w:val="-14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телефон</w:t>
            </w:r>
          </w:p>
        </w:tc>
        <w:tc>
          <w:tcPr>
            <w:tcW w:w="7166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0" w:before="0" w:after="0"/>
              <w:ind w:left="36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>
          <w:trHeight w:val="230" w:hRule="atLeast"/>
        </w:trPr>
        <w:tc>
          <w:tcPr>
            <w:tcW w:w="2337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0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E-mail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викладача:</w:t>
            </w:r>
          </w:p>
        </w:tc>
        <w:tc>
          <w:tcPr>
            <w:tcW w:w="7166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0" w:before="0" w:after="0"/>
              <w:ind w:left="36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u w:val="none" w:color="0000FF"/>
                <w:lang w:val="en-US" w:eastAsia="en-US" w:bidi="ar-SA"/>
              </w:rPr>
              <w:t>nadiya030219</w:t>
            </w:r>
            <w:hyperlink r:id="rId4">
              <w:r>
                <w:rPr>
                  <w:rFonts w:cs="Times New Roman" w:ascii="Times New Roman" w:hAnsi="Times New Roman"/>
                  <w:spacing w:val="-2"/>
                  <w:kern w:val="0"/>
                  <w:sz w:val="20"/>
                  <w:szCs w:val="20"/>
                  <w:u w:val="none" w:color="0000FF"/>
                  <w:lang w:val="en-US" w:eastAsia="en-US" w:bidi="ar-SA"/>
                </w:rPr>
                <w:t>@ukr.net</w:t>
              </w:r>
            </w:hyperlink>
          </w:p>
        </w:tc>
      </w:tr>
      <w:tr>
        <w:trPr>
          <w:trHeight w:val="226" w:hRule="atLeast"/>
        </w:trPr>
        <w:tc>
          <w:tcPr>
            <w:tcW w:w="2337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6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Графік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консультацій</w:t>
            </w:r>
          </w:p>
        </w:tc>
        <w:tc>
          <w:tcPr>
            <w:tcW w:w="7166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6" w:before="0" w:after="0"/>
              <w:ind w:left="367" w:hanging="0"/>
              <w:jc w:val="lef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вівторок,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08.00-09.00</w:t>
            </w:r>
          </w:p>
        </w:tc>
      </w:tr>
    </w:tbl>
    <w:p>
      <w:pPr>
        <w:pStyle w:val="Style18"/>
        <w:spacing w:before="10" w:after="0"/>
        <w:ind w:left="0" w:hanging="0"/>
        <w:jc w:val="lef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before="93" w:after="5"/>
        <w:ind w:left="930" w:hanging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Обсяг</w:t>
      </w:r>
      <w:r>
        <w:rPr>
          <w:rFonts w:cs="Times New Roman" w:ascii="Times New Roman" w:hAnsi="Times New Roman"/>
          <w:b/>
          <w:spacing w:val="-7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курсу</w:t>
      </w:r>
      <w:r>
        <w:rPr>
          <w:rFonts w:cs="Times New Roman" w:ascii="Times New Roman" w:hAnsi="Times New Roman"/>
          <w:b/>
          <w:spacing w:val="-8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на</w:t>
      </w:r>
      <w:r>
        <w:rPr>
          <w:rFonts w:cs="Times New Roman" w:ascii="Times New Roman" w:hAnsi="Times New Roman"/>
          <w:b/>
          <w:spacing w:val="-8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поточний</w:t>
      </w:r>
      <w:r>
        <w:rPr>
          <w:rFonts w:cs="Times New Roman" w:ascii="Times New Roman" w:hAnsi="Times New Roman"/>
          <w:b/>
          <w:spacing w:val="-8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навчальний</w:t>
      </w:r>
      <w:r>
        <w:rPr>
          <w:rFonts w:cs="Times New Roman" w:ascii="Times New Roman" w:hAnsi="Times New Roman"/>
          <w:b/>
          <w:spacing w:val="-8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pacing w:val="-4"/>
          <w:sz w:val="20"/>
          <w:szCs w:val="20"/>
        </w:rPr>
        <w:t>рік:</w:t>
      </w:r>
    </w:p>
    <w:tbl>
      <w:tblPr>
        <w:tblStyle w:val="TableNormal"/>
        <w:tblW w:w="9644" w:type="dxa"/>
        <w:jc w:val="left"/>
        <w:tblInd w:w="227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1703"/>
        <w:gridCol w:w="2269"/>
        <w:gridCol w:w="1391"/>
        <w:gridCol w:w="1398"/>
        <w:gridCol w:w="1393"/>
        <w:gridCol w:w="1489"/>
      </w:tblGrid>
      <w:tr>
        <w:trPr>
          <w:trHeight w:val="460" w:hRule="atLeast"/>
        </w:trPr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115" w:firstLine="331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 xml:space="preserve">Кількість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кредитів</w:t>
            </w:r>
            <w:r>
              <w:rPr>
                <w:rFonts w:cs="Times New Roman" w:ascii="Times New Roman" w:hAnsi="Times New Roman"/>
                <w:spacing w:val="-14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/</w:t>
            </w:r>
            <w:r>
              <w:rPr>
                <w:rFonts w:cs="Times New Roman" w:ascii="Times New Roman" w:hAnsi="Times New Roman"/>
                <w:spacing w:val="-14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годин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left="146" w:right="143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Форма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навчання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left="419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Лекції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339" w:right="229" w:hanging="101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Практичні заняття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369" w:right="154" w:hanging="212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Самостійна робота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left="332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Звітність</w:t>
            </w:r>
          </w:p>
        </w:tc>
      </w:tr>
      <w:tr>
        <w:trPr>
          <w:trHeight w:val="397" w:hRule="atLeast"/>
        </w:trPr>
        <w:tc>
          <w:tcPr>
            <w:tcW w:w="17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9" w:after="0"/>
              <w:jc w:val="left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338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6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/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180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год.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81" w:after="0"/>
              <w:ind w:left="146" w:right="144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очна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(денна)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81" w:after="0"/>
              <w:ind w:left="376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30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год.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81" w:after="0"/>
              <w:ind w:left="37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30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год.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81" w:after="0"/>
              <w:ind w:left="310" w:right="30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120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год.</w:t>
            </w:r>
          </w:p>
        </w:tc>
        <w:tc>
          <w:tcPr>
            <w:tcW w:w="1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9" w:after="0"/>
              <w:jc w:val="left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359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екзамен</w:t>
            </w:r>
          </w:p>
        </w:tc>
      </w:tr>
      <w:tr>
        <w:trPr>
          <w:trHeight w:val="395" w:hRule="atLeast"/>
        </w:trPr>
        <w:tc>
          <w:tcPr>
            <w:tcW w:w="1703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81" w:after="0"/>
              <w:ind w:left="146" w:right="145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заочна</w:t>
            </w:r>
            <w:r>
              <w:rPr>
                <w:rFonts w:cs="Times New Roman" w:ascii="Times New Roman" w:hAnsi="Times New Roman"/>
                <w:spacing w:val="-9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(дистанційна)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81" w:after="0"/>
              <w:ind w:left="431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8</w:t>
            </w:r>
            <w:r>
              <w:rPr>
                <w:rFonts w:cs="Times New Roman" w:ascii="Times New Roman" w:hAnsi="Times New Roman"/>
                <w:spacing w:val="-3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год.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81" w:after="0"/>
              <w:ind w:left="432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8</w:t>
            </w:r>
            <w:r>
              <w:rPr>
                <w:rFonts w:cs="Times New Roman" w:ascii="Times New Roman" w:hAnsi="Times New Roman"/>
                <w:spacing w:val="-3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год.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81" w:after="0"/>
              <w:ind w:left="310" w:right="30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164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год.</w:t>
            </w:r>
          </w:p>
        </w:tc>
        <w:tc>
          <w:tcPr>
            <w:tcW w:w="1489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</w:tr>
    </w:tbl>
    <w:p>
      <w:pPr>
        <w:pStyle w:val="Normal"/>
        <w:ind w:left="930" w:hanging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Семестр:</w:t>
      </w:r>
      <w:r>
        <w:rPr>
          <w:rFonts w:cs="Times New Roman" w:ascii="Times New Roman" w:hAnsi="Times New Roman"/>
          <w:b/>
          <w:spacing w:val="-13"/>
          <w:sz w:val="20"/>
          <w:szCs w:val="20"/>
        </w:rPr>
        <w:t xml:space="preserve"> </w:t>
      </w:r>
      <w:r>
        <w:rPr>
          <w:rFonts w:cs="Times New Roman" w:ascii="Times New Roman" w:hAnsi="Times New Roman"/>
          <w:spacing w:val="-2"/>
          <w:sz w:val="20"/>
          <w:szCs w:val="20"/>
        </w:rPr>
        <w:t>весняний</w:t>
      </w:r>
    </w:p>
    <w:p>
      <w:pPr>
        <w:pStyle w:val="Normal"/>
        <w:ind w:left="930" w:hanging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Мова</w:t>
      </w:r>
      <w:r>
        <w:rPr>
          <w:rFonts w:cs="Times New Roman" w:ascii="Times New Roman" w:hAnsi="Times New Roman"/>
          <w:b/>
          <w:spacing w:val="-9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навчання:</w:t>
      </w:r>
      <w:r>
        <w:rPr>
          <w:rFonts w:cs="Times New Roman" w:ascii="Times New Roman" w:hAnsi="Times New Roman"/>
          <w:b/>
          <w:spacing w:val="-4"/>
          <w:sz w:val="20"/>
          <w:szCs w:val="20"/>
        </w:rPr>
        <w:t xml:space="preserve"> </w:t>
      </w:r>
      <w:r>
        <w:rPr>
          <w:rFonts w:cs="Times New Roman" w:ascii="Times New Roman" w:hAnsi="Times New Roman"/>
          <w:spacing w:val="-2"/>
          <w:sz w:val="20"/>
          <w:szCs w:val="20"/>
        </w:rPr>
        <w:t>українська</w:t>
      </w:r>
    </w:p>
    <w:p>
      <w:pPr>
        <w:pStyle w:val="Style18"/>
        <w:ind w:left="222" w:right="151" w:firstLine="707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 xml:space="preserve">Ключові слова: </w:t>
      </w:r>
      <w:r>
        <w:rPr>
          <w:rFonts w:cs="Times New Roman" w:ascii="Times New Roman" w:hAnsi="Times New Roman"/>
        </w:rPr>
        <w:t>педагогіка, дидактика, освіта, навчання, виховання, зміст освіти, принципи і правила, методи та засоби, форми й системи навчання й виховання, моніторинг навчальних</w:t>
      </w:r>
      <w:r>
        <w:rPr>
          <w:rFonts w:cs="Times New Roman" w:ascii="Times New Roman" w:hAnsi="Times New Roman"/>
          <w:spacing w:val="40"/>
        </w:rPr>
        <w:t xml:space="preserve"> </w:t>
      </w:r>
      <w:r>
        <w:rPr>
          <w:rFonts w:cs="Times New Roman" w:ascii="Times New Roman" w:hAnsi="Times New Roman"/>
        </w:rPr>
        <w:t>досягнень, технології навчання й виховання.</w:t>
      </w:r>
    </w:p>
    <w:p>
      <w:pPr>
        <w:pStyle w:val="Style18"/>
        <w:ind w:left="222" w:right="148" w:firstLine="707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 xml:space="preserve">Метою курсу </w:t>
      </w:r>
      <w:r>
        <w:rPr>
          <w:rFonts w:cs="Times New Roman" w:ascii="Times New Roman" w:hAnsi="Times New Roman"/>
        </w:rPr>
        <w:t>є опанування теоретичними знаннями із загальної педагогіки; формування вмінь моделювати освітній процес у закладах загальної середньої освіти згідно з сучасними вимогами, формування системного педагогічного мислення, професійної самосвідомості.</w:t>
      </w:r>
    </w:p>
    <w:p>
      <w:pPr>
        <w:pStyle w:val="Style18"/>
        <w:ind w:left="222" w:right="144" w:firstLine="707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 xml:space="preserve">Предметом </w:t>
      </w:r>
      <w:r>
        <w:rPr>
          <w:rFonts w:cs="Times New Roman" w:ascii="Times New Roman" w:hAnsi="Times New Roman"/>
        </w:rPr>
        <w:t xml:space="preserve">навчальної дисципліни є теоретичні засади виховання, навчання і розвитку </w:t>
      </w:r>
      <w:r>
        <w:rPr>
          <w:rFonts w:cs="Times New Roman" w:ascii="Times New Roman" w:hAnsi="Times New Roman"/>
          <w:spacing w:val="-2"/>
        </w:rPr>
        <w:t>особистості.</w:t>
      </w:r>
    </w:p>
    <w:p>
      <w:pPr>
        <w:pStyle w:val="Style18"/>
        <w:ind w:left="222" w:right="148" w:firstLine="707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У результаті вивчення навчальної дисципліни студент буде </w:t>
      </w:r>
      <w:r>
        <w:rPr>
          <w:rFonts w:cs="Times New Roman" w:ascii="Times New Roman" w:hAnsi="Times New Roman"/>
          <w:b/>
        </w:rPr>
        <w:t xml:space="preserve">знати: </w:t>
      </w:r>
      <w:r>
        <w:rPr>
          <w:rFonts w:cs="Times New Roman" w:ascii="Times New Roman" w:hAnsi="Times New Roman"/>
        </w:rPr>
        <w:t>сукупність відомостей про: предмет, завдання, категорії, етапи розвитку та джерела педагогіки, систему педагогічних наук, зв’язки педагогіки з іншими науками; методи, елементи та послідовність етапів науково-педагогічного дослідження; фактори та рушійні сили розвитку й формування особистості; компоненти змісту освіти, нормативні документи, у яких його відображено; сутність і структуру процесів навчання й виховання; принципи, методи, засоби, організаційні форми, навчання й виховання; особливості оцінювання навчальних досягнень учнів, виявлення рівнів їхньої вихованості; теоретичні засади управління закладом загальної середньої освіти та планування його діяльності.</w:t>
      </w:r>
    </w:p>
    <w:p>
      <w:pPr>
        <w:pStyle w:val="Style18"/>
        <w:ind w:left="222" w:right="146" w:firstLine="719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У результаті вивчення навчальної дисципліни студент буде </w:t>
      </w:r>
      <w:r>
        <w:rPr>
          <w:rFonts w:cs="Times New Roman" w:ascii="Times New Roman" w:hAnsi="Times New Roman"/>
          <w:b/>
        </w:rPr>
        <w:t xml:space="preserve">вміти: </w:t>
      </w:r>
      <w:r>
        <w:rPr>
          <w:rFonts w:cs="Times New Roman" w:ascii="Times New Roman" w:hAnsi="Times New Roman"/>
        </w:rPr>
        <w:t>здійснювати категоріальний аналіз базових педагогічних понять; установлювати взаємозв’язки між педагогічними науками та міжпредметні зв’язки педагогіки з іншими науками; формувати концептуальний апарат дослідження (актуальність проблеми, об’єкт, предмет, мету та завдання); відбирати оптимальні наукові методи відповідно до об’єкта, предмета й цілей дослідження; передбачати результати позитивного і негативного впливу біологічних, соціальних, культурологічних та інших чинників на розвиток особистості; з’ясовувати рушійні сили процесів навчання і виховання, виявляти зв’язки між складниками цих процесів; визначати умови взаємодії методів і прийомів навчання й виховання, проєктувати реалізацію методів навчання й виховання в заданих педагогічних ситуаціях; обґрунтовувати</w:t>
      </w:r>
      <w:r>
        <w:rPr>
          <w:rFonts w:cs="Times New Roman" w:ascii="Times New Roman" w:hAnsi="Times New Roman"/>
          <w:spacing w:val="61"/>
        </w:rPr>
        <w:t xml:space="preserve"> </w:t>
      </w:r>
      <w:r>
        <w:rPr>
          <w:rFonts w:cs="Times New Roman" w:ascii="Times New Roman" w:hAnsi="Times New Roman"/>
        </w:rPr>
        <w:t>вибір</w:t>
      </w:r>
      <w:r>
        <w:rPr>
          <w:rFonts w:cs="Times New Roman" w:ascii="Times New Roman" w:hAnsi="Times New Roman"/>
          <w:spacing w:val="65"/>
        </w:rPr>
        <w:t xml:space="preserve"> </w:t>
      </w:r>
      <w:r>
        <w:rPr>
          <w:rFonts w:cs="Times New Roman" w:ascii="Times New Roman" w:hAnsi="Times New Roman"/>
        </w:rPr>
        <w:t>різних</w:t>
      </w:r>
      <w:r>
        <w:rPr>
          <w:rFonts w:cs="Times New Roman" w:ascii="Times New Roman" w:hAnsi="Times New Roman"/>
          <w:spacing w:val="63"/>
        </w:rPr>
        <w:t xml:space="preserve"> </w:t>
      </w:r>
      <w:r>
        <w:rPr>
          <w:rFonts w:cs="Times New Roman" w:ascii="Times New Roman" w:hAnsi="Times New Roman"/>
        </w:rPr>
        <w:t>видів,</w:t>
      </w:r>
      <w:r>
        <w:rPr>
          <w:rFonts w:cs="Times New Roman" w:ascii="Times New Roman" w:hAnsi="Times New Roman"/>
          <w:spacing w:val="63"/>
        </w:rPr>
        <w:t xml:space="preserve"> </w:t>
      </w:r>
      <w:r>
        <w:rPr>
          <w:rFonts w:cs="Times New Roman" w:ascii="Times New Roman" w:hAnsi="Times New Roman"/>
        </w:rPr>
        <w:t>форм</w:t>
      </w:r>
      <w:r>
        <w:rPr>
          <w:rFonts w:cs="Times New Roman" w:ascii="Times New Roman" w:hAnsi="Times New Roman"/>
          <w:spacing w:val="62"/>
        </w:rPr>
        <w:t xml:space="preserve"> </w:t>
      </w:r>
      <w:r>
        <w:rPr>
          <w:rFonts w:cs="Times New Roman" w:ascii="Times New Roman" w:hAnsi="Times New Roman"/>
        </w:rPr>
        <w:t>і</w:t>
      </w:r>
      <w:r>
        <w:rPr>
          <w:rFonts w:cs="Times New Roman" w:ascii="Times New Roman" w:hAnsi="Times New Roman"/>
          <w:spacing w:val="64"/>
        </w:rPr>
        <w:t xml:space="preserve"> </w:t>
      </w:r>
      <w:r>
        <w:rPr>
          <w:rFonts w:cs="Times New Roman" w:ascii="Times New Roman" w:hAnsi="Times New Roman"/>
        </w:rPr>
        <w:t>методів</w:t>
      </w:r>
      <w:r>
        <w:rPr>
          <w:rFonts w:cs="Times New Roman" w:ascii="Times New Roman" w:hAnsi="Times New Roman"/>
          <w:spacing w:val="62"/>
        </w:rPr>
        <w:t xml:space="preserve"> </w:t>
      </w:r>
      <w:r>
        <w:rPr>
          <w:rFonts w:cs="Times New Roman" w:ascii="Times New Roman" w:hAnsi="Times New Roman"/>
        </w:rPr>
        <w:t>перевірки</w:t>
      </w:r>
      <w:r>
        <w:rPr>
          <w:rFonts w:cs="Times New Roman" w:ascii="Times New Roman" w:hAnsi="Times New Roman"/>
          <w:spacing w:val="62"/>
        </w:rPr>
        <w:t xml:space="preserve"> </w:t>
      </w:r>
      <w:r>
        <w:rPr>
          <w:rFonts w:cs="Times New Roman" w:ascii="Times New Roman" w:hAnsi="Times New Roman"/>
        </w:rPr>
        <w:t>результатів</w:t>
      </w:r>
      <w:r>
        <w:rPr>
          <w:rFonts w:cs="Times New Roman" w:ascii="Times New Roman" w:hAnsi="Times New Roman"/>
          <w:spacing w:val="62"/>
        </w:rPr>
        <w:t xml:space="preserve"> </w:t>
      </w:r>
      <w:r>
        <w:rPr>
          <w:rFonts w:cs="Times New Roman" w:ascii="Times New Roman" w:hAnsi="Times New Roman"/>
        </w:rPr>
        <w:t>навчання</w:t>
      </w:r>
      <w:r>
        <w:rPr>
          <w:rFonts w:cs="Times New Roman" w:ascii="Times New Roman" w:hAnsi="Times New Roman"/>
          <w:spacing w:val="63"/>
        </w:rPr>
        <w:t xml:space="preserve"> </w:t>
      </w:r>
      <w:r>
        <w:rPr>
          <w:rFonts w:cs="Times New Roman" w:ascii="Times New Roman" w:hAnsi="Times New Roman"/>
        </w:rPr>
        <w:t>й</w:t>
      </w:r>
      <w:r>
        <w:rPr>
          <w:rFonts w:cs="Times New Roman" w:ascii="Times New Roman" w:hAnsi="Times New Roman"/>
          <w:spacing w:val="62"/>
        </w:rPr>
        <w:t xml:space="preserve"> </w:t>
      </w:r>
      <w:r>
        <w:rPr>
          <w:rFonts w:cs="Times New Roman" w:ascii="Times New Roman" w:hAnsi="Times New Roman"/>
        </w:rPr>
        <w:t>виховання,</w:t>
      </w:r>
      <w:r>
        <w:rPr>
          <w:rFonts w:cs="Times New Roman" w:ascii="Times New Roman" w:hAnsi="Times New Roman"/>
          <w:lang w:val="en-US"/>
        </w:rPr>
        <w:t xml:space="preserve">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sectPr>
          <w:type w:val="continuous"/>
          <w:pgSz w:w="12240" w:h="15840"/>
          <w:pgMar w:left="1480" w:right="700" w:gutter="0" w:header="0" w:top="1140" w:footer="0" w:bottom="280"/>
          <w:formProt w:val="false"/>
          <w:textDirection w:val="lrTb"/>
          <w:docGrid w:type="default" w:linePitch="312" w:charSpace="4294965247"/>
        </w:sectPr>
      </w:pPr>
    </w:p>
    <w:p>
      <w:pPr>
        <w:pStyle w:val="Style18"/>
        <w:spacing w:before="70" w:after="0"/>
        <w:ind w:left="222" w:right="157" w:hanging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диференціювати рівні навчальних досягнень і вихованості учнів за встановленими критеріями; здійснювати системний аналіз концептуальних положень навчання й виховання.</w:t>
      </w:r>
    </w:p>
    <w:p>
      <w:pPr>
        <w:pStyle w:val="Normal"/>
        <w:spacing w:lineRule="exact" w:line="229" w:before="0" w:after="6"/>
        <w:ind w:left="930" w:hanging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Компетентності</w:t>
      </w:r>
      <w:r>
        <w:rPr>
          <w:rFonts w:cs="Times New Roman" w:ascii="Times New Roman" w:hAnsi="Times New Roman"/>
          <w:b/>
          <w:spacing w:val="-11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та</w:t>
      </w:r>
      <w:r>
        <w:rPr>
          <w:rFonts w:cs="Times New Roman" w:ascii="Times New Roman" w:hAnsi="Times New Roman"/>
          <w:b/>
          <w:spacing w:val="-11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програмні</w:t>
      </w:r>
      <w:r>
        <w:rPr>
          <w:rFonts w:cs="Times New Roman" w:ascii="Times New Roman" w:hAnsi="Times New Roman"/>
          <w:b/>
          <w:spacing w:val="-11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результати</w:t>
      </w:r>
      <w:r>
        <w:rPr>
          <w:rFonts w:cs="Times New Roman" w:ascii="Times New Roman" w:hAnsi="Times New Roman"/>
          <w:b/>
          <w:spacing w:val="-11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pacing w:val="-2"/>
          <w:sz w:val="20"/>
          <w:szCs w:val="20"/>
        </w:rPr>
        <w:t>навчання:</w:t>
      </w:r>
    </w:p>
    <w:tbl>
      <w:tblPr>
        <w:tblStyle w:val="TableNormal"/>
        <w:tblW w:w="9640" w:type="dxa"/>
        <w:jc w:val="left"/>
        <w:tblInd w:w="227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820"/>
        <w:gridCol w:w="4739"/>
        <w:gridCol w:w="81"/>
      </w:tblGrid>
      <w:tr>
        <w:trPr>
          <w:trHeight w:val="467" w:hRule="atLeast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9" w:before="2" w:after="0"/>
              <w:ind w:left="773" w:right="76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Компетентності,</w:t>
            </w:r>
          </w:p>
          <w:p>
            <w:pPr>
              <w:pStyle w:val="TableParagraph"/>
              <w:widowControl w:val="false"/>
              <w:suppressAutoHyphens w:val="true"/>
              <w:spacing w:lineRule="exact" w:line="217" w:before="0" w:after="0"/>
              <w:ind w:left="773" w:right="772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якими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повинен</w:t>
            </w:r>
            <w:r>
              <w:rPr>
                <w:rFonts w:cs="Times New Roman" w:ascii="Times New Roman" w:hAnsi="Times New Roman"/>
                <w:spacing w:val="-9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оволодіти</w:t>
            </w:r>
            <w:r>
              <w:rPr>
                <w:rFonts w:cs="Times New Roman" w:ascii="Times New Roman" w:hAnsi="Times New Roman"/>
                <w:spacing w:val="-9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здобувач</w:t>
            </w:r>
          </w:p>
        </w:tc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7" w:after="0"/>
              <w:ind w:left="919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Програмні</w:t>
            </w:r>
            <w:r>
              <w:rPr>
                <w:rFonts w:cs="Times New Roman" w:ascii="Times New Roman" w:hAnsi="Times New Roman"/>
                <w:spacing w:val="-13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результати</w:t>
            </w:r>
            <w:r>
              <w:rPr>
                <w:rFonts w:cs="Times New Roman" w:ascii="Times New Roman" w:hAnsi="Times New Roman"/>
                <w:spacing w:val="-13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навчання</w:t>
            </w:r>
          </w:p>
        </w:tc>
      </w:tr>
      <w:tr>
        <w:trPr>
          <w:trHeight w:val="3679" w:hRule="atLeast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2825" w:leader="none"/>
              </w:tabs>
              <w:suppressAutoHyphens w:val="true"/>
              <w:spacing w:before="0" w:after="0"/>
              <w:ind w:left="57" w:right="218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ЗК 02.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 xml:space="preserve"> Знання й розуміння предметної області та професійної діяльності.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2825" w:leader="none"/>
              </w:tabs>
              <w:suppressAutoHyphens w:val="true"/>
              <w:spacing w:before="0" w:after="0"/>
              <w:ind w:left="57" w:right="218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ЗК 05.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Здатність діяти автономно, приймати обґрунтовані рішення в професійній діяльності й відповідати за їх виконання, діяти відповідально й свідомо на основі чинного законодавства та етичних міркувань (мотивів)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2825" w:leader="none"/>
              </w:tabs>
              <w:suppressAutoHyphens w:val="true"/>
              <w:spacing w:before="0" w:after="0"/>
              <w:ind w:left="57" w:right="218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ЗК 07.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Здатність реалізувати свої права і обов’язки як члена суспільства; усвідомлення цінності громадянського (вільного демократичного) суспільства та необхідності його сталого розвитку, верховенства права, прав і свобод людини та громадянина в Україні.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2825" w:leader="none"/>
              </w:tabs>
              <w:suppressAutoHyphens w:val="true"/>
              <w:spacing w:before="0" w:after="0"/>
              <w:ind w:left="57" w:right="218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ЗК 08. </w:t>
            </w:r>
            <w:r>
              <w:rPr>
                <w:rFonts w:cs="Times New Roman" w:ascii="Times New Roman" w:hAnsi="Times New Roman"/>
                <w:b w:val="false"/>
                <w:bCs w:val="false"/>
                <w:kern w:val="0"/>
                <w:sz w:val="20"/>
                <w:szCs w:val="20"/>
                <w:lang w:eastAsia="en-US" w:bidi="ar-SA"/>
              </w:rPr>
              <w:t>Здатність зберігати та примножувати моральні, культурні, наукові цінності й досягнення суспільства на основі розуміння історії та закономірностей розвитку предметної області, її місця в загальній системі знань про природу й суспільство та значення в розвитку суспільства, техніки й технологій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2825" w:leader="none"/>
              </w:tabs>
              <w:suppressAutoHyphens w:val="true"/>
              <w:spacing w:before="0" w:after="0"/>
              <w:ind w:left="57" w:right="218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ЗК 10. </w:t>
            </w:r>
            <w:r>
              <w:rPr>
                <w:rFonts w:cs="Times New Roman" w:ascii="Times New Roman" w:hAnsi="Times New Roman"/>
                <w:b w:val="false"/>
                <w:bCs w:val="false"/>
                <w:kern w:val="0"/>
                <w:sz w:val="20"/>
                <w:szCs w:val="20"/>
                <w:lang w:eastAsia="en-US" w:bidi="ar-SA"/>
              </w:rPr>
              <w:t>Здатність поважати різноманітність і мультикультурність суспільства, усвідомлювати необхідність рівних можливостей для всіх учасників освітнього процесу.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2825" w:leader="none"/>
              </w:tabs>
              <w:suppressAutoHyphens w:val="true"/>
              <w:spacing w:before="0" w:after="0"/>
              <w:ind w:left="57" w:right="218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ФК 01. </w:t>
            </w: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  <w:t>Здатність перенесення системи наукових знань у професійну діяльність та в площину української мови та літератури.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2825" w:leader="none"/>
              </w:tabs>
              <w:suppressAutoHyphens w:val="true"/>
              <w:spacing w:before="0" w:after="0"/>
              <w:ind w:left="57" w:right="218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ФК 03.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Здатність здійснювати цілевизначення, планування та проєктування процесів навчання української мови та літератури, виховання учнів з урахуванням їхніх вікових та індивідуальних особливостей, освітніх потреб і можливостей; добирати та застосовувати ефективні методики й технології навчання, виховання й розвитку учнів.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2825" w:leader="none"/>
              </w:tabs>
              <w:suppressAutoHyphens w:val="true"/>
              <w:spacing w:before="0" w:after="0"/>
              <w:ind w:left="57" w:right="218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ФК 04. </w:t>
            </w:r>
            <w:r>
              <w:rPr>
                <w:rFonts w:cs="Times New Roman" w:ascii="Times New Roman" w:hAnsi="Times New Roman"/>
                <w:b w:val="false"/>
                <w:bCs w:val="false"/>
                <w:kern w:val="0"/>
                <w:sz w:val="20"/>
                <w:szCs w:val="20"/>
                <w:lang w:eastAsia="en-US" w:bidi="ar-SA"/>
              </w:rPr>
              <w:t>Здатність формувати й розвивати в учнів ключові та предметні компетентності засобами української мови, української літератури та інтегрованого навчання; формувати в них ціннісне ставлення, розвивати критичне мислення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2825" w:leader="none"/>
              </w:tabs>
              <w:suppressAutoHyphens w:val="true"/>
              <w:spacing w:before="0" w:after="0"/>
              <w:ind w:left="57" w:right="218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ФК 05. </w:t>
            </w:r>
            <w:r>
              <w:rPr>
                <w:rFonts w:cs="Times New Roman" w:ascii="Times New Roman" w:hAnsi="Times New Roman"/>
                <w:b w:val="false"/>
                <w:bCs w:val="false"/>
                <w:kern w:val="0"/>
                <w:sz w:val="20"/>
                <w:szCs w:val="20"/>
                <w:lang w:eastAsia="en-US" w:bidi="ar-SA"/>
              </w:rPr>
              <w:t>Здатність здійснювати об’єктивний контроль та оцінювання рівня навчальних досягнень учнів на засадах компетентнісного підходу, аналізувати результати їхнього навчання з української мови та літератури.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2825" w:leader="none"/>
              </w:tabs>
              <w:suppressAutoHyphens w:val="true"/>
              <w:spacing w:before="0" w:after="0"/>
              <w:ind w:left="57" w:right="218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ФК 06.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Здатність до формування колективу учнів; знаходження ефективних шляхів мотивування їх до саморозвитку (самовизначення, зацікавлення, усвідомленого ставлення до навчання); спрямування на прогрес і досягнення з урахуванням здібностей та інтересів кожного з них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2825" w:leader="none"/>
              </w:tabs>
              <w:suppressAutoHyphens w:val="true"/>
              <w:spacing w:before="0" w:after="0"/>
              <w:ind w:left="57" w:right="218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ФК 08.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Здатність до суб’єкт-суб’єктної (рівноправної та особистісно орієнтованої) взаємодії з учнями в освітньому процесі, залучення батьків до освітнього процесу на засадах партнерства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2825" w:leader="none"/>
              </w:tabs>
              <w:suppressAutoHyphens w:val="true"/>
              <w:spacing w:before="0" w:after="0"/>
              <w:ind w:left="57" w:right="218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ФК 09.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 xml:space="preserve"> Здатність аналізувати власну педагогічну діяльність та її результати, здійснювати самооцінку і самокорекцію своїх професійних якостей.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2825" w:leader="none"/>
              </w:tabs>
              <w:suppressAutoHyphens w:val="true"/>
              <w:spacing w:before="0" w:after="0"/>
              <w:ind w:left="57" w:right="218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ПК 05.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Здатність застосовувати у власній практичній діяльності сучасні підходи (особистісно орієнтований, діяльнісний, компетентнісний) до навчання, викладання, діагностування навчальних досягнень здобувачів освіти з української мови та літератури, ураховуючи передовий український й міжнародний досвід.</w:t>
            </w:r>
          </w:p>
        </w:tc>
        <w:tc>
          <w:tcPr>
            <w:tcW w:w="4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18"/>
              <w:widowControl w:val="false"/>
              <w:suppressAutoHyphens w:val="true"/>
              <w:spacing w:before="0" w:after="0"/>
              <w:ind w:left="57" w:right="137" w:hanging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lang w:eastAsia="en-US" w:bidi="ar-SA"/>
              </w:rPr>
              <w:t>РН 01.</w:t>
            </w:r>
            <w:r>
              <w:rPr>
                <w:rFonts w:cs="Times New Roman" w:ascii="Times New Roman" w:hAnsi="Times New Roman"/>
                <w:kern w:val="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</w:rPr>
              <w:t>Відтворює основні концепції та принципи педагогіки й психології; враховує в освітньому процесі закономірності розвитку, вікові та інші індивідуальні особливості учнів.</w:t>
            </w:r>
          </w:p>
          <w:p>
            <w:pPr>
              <w:pStyle w:val="Style18"/>
              <w:widowControl w:val="false"/>
              <w:suppressAutoHyphens w:val="true"/>
              <w:spacing w:before="0" w:after="0"/>
              <w:ind w:left="57" w:right="137" w:hanging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lang w:eastAsia="en-US" w:bidi="ar-SA"/>
              </w:rPr>
              <w:t xml:space="preserve">РН 03. </w:t>
            </w:r>
            <w:r>
              <w:rPr>
                <w:rFonts w:cs="Times New Roman" w:ascii="Times New Roman" w:hAnsi="Times New Roman"/>
              </w:rPr>
              <w:t>Називає й аналізує методи цілевизначення, планування та проєктування процесів навчання української мови, викладання української літератури й виховання учнів на основі компетентнісного підходу з урахуванням їхніх освітніх потреб; класифікує форми, методи й засоби навчання української мови, викладання української літератури в ЗЗСО</w:t>
            </w:r>
          </w:p>
          <w:p>
            <w:pPr>
              <w:pStyle w:val="Style18"/>
              <w:widowControl w:val="false"/>
              <w:suppressAutoHyphens w:val="true"/>
              <w:spacing w:before="0" w:after="0"/>
              <w:ind w:left="57" w:right="137" w:hanging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lang w:eastAsia="en-US" w:bidi="ar-SA"/>
              </w:rPr>
              <w:t xml:space="preserve">РН 04. </w:t>
            </w:r>
            <w:r>
              <w:rPr>
                <w:rFonts w:cs="Times New Roman" w:ascii="Times New Roman" w:hAnsi="Times New Roman"/>
                <w:b w:val="false"/>
                <w:bCs w:val="false"/>
              </w:rPr>
              <w:t>Здійснює добір і застосовує сучасні освітні технології та методики для формування предметних компетентностей учнів; критично оцінює результати їхнього навчання та ефективність уроку.</w:t>
            </w:r>
          </w:p>
          <w:p>
            <w:pPr>
              <w:pStyle w:val="Style18"/>
              <w:widowControl w:val="false"/>
              <w:suppressAutoHyphens w:val="true"/>
              <w:spacing w:before="0" w:after="0"/>
              <w:ind w:left="57" w:right="137" w:hanging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lang w:eastAsia="en-US" w:bidi="ar-SA"/>
              </w:rPr>
              <w:t>РН 05.</w:t>
            </w:r>
            <w:r>
              <w:rPr>
                <w:rFonts w:cs="Times New Roman" w:ascii="Times New Roman" w:hAnsi="Times New Roman"/>
                <w:kern w:val="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</w:rPr>
              <w:t>Вибирає відповідні форми та методи виховання учнів на уроках і в позакласній роботі; аналізує динаміку особистісного розвитку учнів, визначає ефективні шляхи їхньої мотивації до саморозвитку та спрямування на прогрес і досягнення з урахуванням здібностей та інтересів кожного з них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57" w:right="137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РН 06.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Називає й пояснює принципи проєктування психологічно безпечного й комфортного освітнього середовища з дотриманням вимог законодавства щодо охорони життя й здоров’я учнів (зокрема з особливими освітніми потребами), технології здоров’язбереження під час освітнього процесу, способи запобігання та протидії булінгу й налагодження ефективної співпраці з учнями та їхніми батьками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57" w:right="137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РН 11.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Виявляє навички роботи в команді, адаптації та дії в новій ситуації, пояснює необхідність забезпечення рівних можливостей і дотримання гендерного паритету в професійній діяльності.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57" w:right="137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РН 12.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Аналізує власну педагогічну діяльність та її результати, здійснює об’єктивне самооцінювання й самокорекцію своїх професійних якостей.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57" w:right="137" w:hanging="0"/>
              <w:jc w:val="both"/>
              <w:rPr/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РН 13.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Демонструє знання основних положень нормативно-правових документів щодо професійної діяльності, обґрунтовує необхідність використання інструментів демократичної правової держави в професійній та громадській діяльності та прийняття рішень на засадах поваги до прав і свобод людини в Україні.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57" w:right="137" w:hanging="0"/>
              <w:jc w:val="both"/>
              <w:rPr/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ПРН 07. </w:t>
            </w:r>
            <w:r>
              <w:rPr>
                <w:rFonts w:cs="Times New Roman" w:ascii="Times New Roman" w:hAnsi="Times New Roman"/>
                <w:b w:val="false"/>
                <w:bCs w:val="false"/>
                <w:kern w:val="0"/>
                <w:sz w:val="20"/>
                <w:szCs w:val="20"/>
                <w:lang w:eastAsia="en-US" w:bidi="ar-SA"/>
              </w:rPr>
              <w:t>Володіє особистісно орієнтованим, діяльнісним, компетентнісним та іншими сучасними підходами до навчання української мови та викладання української літератури, застосовує український та міжнародний досвід навчанні здобувачів освіти.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57" w:right="137" w:hanging="0"/>
              <w:jc w:val="both"/>
              <w:rPr>
                <w:rFonts w:ascii="Times New Roman" w:hAnsi="Times New Roman" w:cs="Times New Roman"/>
                <w:b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ПРН 08.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Володіє методами й методиками діагностування навчальних досягнень здобувачів освіти з української мови та літератури; уміє здійснювати педагогічний супровід.</w:t>
            </w:r>
          </w:p>
        </w:tc>
        <w:tc>
          <w:tcPr>
            <w:tcW w:w="81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ormal"/>
        <w:ind w:left="930" w:hanging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Зміст</w:t>
      </w:r>
      <w:r>
        <w:rPr>
          <w:rFonts w:cs="Times New Roman" w:ascii="Times New Roman" w:hAnsi="Times New Roman"/>
          <w:b/>
          <w:spacing w:val="-10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pacing w:val="-2"/>
          <w:sz w:val="20"/>
          <w:szCs w:val="20"/>
        </w:rPr>
        <w:t>курсу:</w:t>
      </w:r>
    </w:p>
    <w:p>
      <w:pPr>
        <w:pStyle w:val="Normal"/>
        <w:widowControl/>
        <w:suppressAutoHyphens w:val="false"/>
        <w:ind w:firstLine="709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b/>
          <w:sz w:val="20"/>
          <w:szCs w:val="20"/>
          <w:lang w:eastAsia="ru-RU"/>
        </w:rPr>
        <w:t>Тема</w:t>
      </w:r>
      <w:r>
        <w:rPr>
          <w:rFonts w:eastAsia="Times New Roman" w:cs="Times New Roman" w:ascii="Times New Roman" w:hAnsi="Times New Roman"/>
          <w:b/>
          <w:bCs/>
          <w:color w:val="FF0000"/>
          <w:sz w:val="20"/>
          <w:szCs w:val="20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z w:val="20"/>
          <w:szCs w:val="20"/>
          <w:lang w:eastAsia="ru-RU"/>
        </w:rPr>
        <w:t xml:space="preserve">1. Теоретичні та методологічні засади педагогіки.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Педагогіка як наука. Предмет і завдання педагогіки. Етапи розвитку педагогічної науки. Джерела педагогічної науки. Основні педагогічні категорії. Система педагогічних дисциплін. Зв'язки педагогіки з іншими науками.</w:t>
      </w:r>
      <w:r>
        <w:rPr>
          <w:rFonts w:eastAsia="Times New Roman" w:cs="Times New Roman" w:ascii="Times New Roman" w:hAnsi="Times New Roman"/>
          <w:sz w:val="20"/>
          <w:szCs w:val="20"/>
          <w:lang w:val="ru-RU" w:eastAsia="ru-RU"/>
        </w:rPr>
        <w:t xml:space="preserve"> Акс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іологічні основи педагогіки.</w:t>
      </w:r>
    </w:p>
    <w:p>
      <w:pPr>
        <w:pStyle w:val="Normal"/>
        <w:widowControl/>
        <w:suppressAutoHyphens w:val="false"/>
        <w:ind w:firstLine="709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Сутність науково-педагогічного дослідження. Методологія та методика педагогічного дослідження. Методи науково-педагогічного дослідження. Науково-категорійний апарат педагогічного дослідження. Послідовність етапів організації і проведення науково-педагогічного дослідження.</w:t>
      </w:r>
    </w:p>
    <w:p>
      <w:pPr>
        <w:pStyle w:val="Normal"/>
        <w:widowControl/>
        <w:suppressAutoHyphens w:val="false"/>
        <w:ind w:right="129"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Людина як організм, індивід, особистість, індивідуальність. Поняття про розвиток людини. Рушійні сили та закономірності розвитку особистості. </w:t>
      </w:r>
    </w:p>
    <w:p>
      <w:pPr>
        <w:pStyle w:val="Normal"/>
        <w:widowControl/>
        <w:suppressAutoHyphens w:val="false"/>
        <w:ind w:right="129"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Чинники формування особистості. Спадковість і розвиток. Природні задатки як передумова розвитку людини. Проблема успадкування спеціальних задатків, моральних якостей.</w:t>
      </w:r>
    </w:p>
    <w:p>
      <w:pPr>
        <w:pStyle w:val="Normal"/>
        <w:widowControl/>
        <w:suppressAutoHyphens w:val="false"/>
        <w:ind w:right="126"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Вплив середовища на розвиток і формування особистості. Види середовища. Соціалізація людини.</w:t>
      </w:r>
    </w:p>
    <w:p>
      <w:pPr>
        <w:pStyle w:val="Normal"/>
        <w:widowControl/>
        <w:suppressAutoHyphens w:val="false"/>
        <w:ind w:right="127"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Виховання – визначальний чинник формування особистості. </w:t>
      </w:r>
    </w:p>
    <w:p>
      <w:pPr>
        <w:pStyle w:val="Normal"/>
        <w:widowControl/>
        <w:suppressAutoHyphens w:val="false"/>
        <w:ind w:right="130"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Діяльність як чинник розвитку особистості. </w:t>
      </w:r>
    </w:p>
    <w:p>
      <w:pPr>
        <w:pStyle w:val="Normal"/>
        <w:widowControl/>
        <w:suppressAutoHyphens w:val="false"/>
        <w:ind w:firstLine="709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Вікова періодизація в педагогіці. Педагогічна характеристика учнів. </w:t>
      </w:r>
    </w:p>
    <w:p>
      <w:pPr>
        <w:pStyle w:val="Normal"/>
        <w:widowControl/>
        <w:suppressAutoHyphens w:val="false"/>
        <w:ind w:right="122" w:firstLine="70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Освіта як соціокультурний феномен. Нормативно-законодавча база, що регулює систему освіти України: Концепція Нової української школи. Закони України «Про освіту», «Про загальну середню освіту». Поняття про систему освіти в Україні. Стратегічні завдання та пріоритетні напрями реформування освіти в Україні. Принципи побудови системи освіти. Структура системи освіти.</w:t>
      </w:r>
    </w:p>
    <w:p>
      <w:pPr>
        <w:pStyle w:val="Normal"/>
        <w:widowControl/>
        <w:suppressAutoHyphens w:val="false"/>
        <w:ind w:right="122" w:firstLine="70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Академічна доброчесність. Принципи академічної доброчесності. Мотивація до роботи і навчання в ціннісно чесній академічній спільноті.</w:t>
      </w:r>
    </w:p>
    <w:p>
      <w:pPr>
        <w:pStyle w:val="Normal"/>
        <w:widowControl/>
        <w:suppressAutoHyphens w:val="false"/>
        <w:ind w:right="129"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Освітнє середовище. Теорія і практика облаштування шкільних просторів — освітнього для учнів і робочого для вчителів.</w:t>
      </w:r>
    </w:p>
    <w:p>
      <w:pPr>
        <w:pStyle w:val="Normal"/>
        <w:widowControl/>
        <w:suppressAutoHyphens w:val="false"/>
        <w:ind w:right="129"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Поняття і сутність цілісного педагогічного процесу. </w:t>
      </w:r>
      <w:r>
        <w:rPr>
          <w:rFonts w:eastAsia="Times New Roman" w:cs="Times New Roman" w:ascii="Times New Roman" w:hAnsi="Times New Roman"/>
          <w:bCs/>
          <w:iCs/>
          <w:sz w:val="20"/>
          <w:szCs w:val="20"/>
          <w:lang w:eastAsia="ru-RU"/>
        </w:rPr>
        <w:t>Педагогічна взаємодія як сутнісна характеристика цілісного педагогічного процесу. Закономірності та принципи цілісного педагогічного процесу.  Сучасні підходи до організації педагогічного процесу</w:t>
      </w:r>
    </w:p>
    <w:p>
      <w:pPr>
        <w:pStyle w:val="Normal"/>
        <w:widowControl/>
        <w:suppressAutoHyphens w:val="false"/>
        <w:ind w:firstLine="709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0"/>
          <w:szCs w:val="20"/>
          <w:lang w:eastAsia="ru-RU"/>
        </w:rPr>
        <w:t xml:space="preserve">Тема 2. Теоретичні засади навчання.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Дидактика як теорія освіти і навчання. Історія становлення та розвитку дидактики. Гуманістична концепція та особистісно орієнтований підхід як методологічна основа дидактики. Об’єкт і предмет дидактики. Функції дидактики. Завдання дидактики на сучасному етапі розвитку педагогічної науки. Основні категорії дидактики. Система дидактичних дисциплін. Зв’язки дидактики з іншими науками (суспільними, психологічними, біологічними та ін.). Українська народна дидактика, її мета, завдання та зміст.</w:t>
      </w:r>
    </w:p>
    <w:p>
      <w:pPr>
        <w:pStyle w:val="Normal"/>
        <w:widowControl/>
        <w:suppressAutoHyphens w:val="false"/>
        <w:ind w:right="129"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Поняття процесу навчання. Навчання як вид пізнавальної діяльності людини. Функції процесу навчання. Структура процесу навчання. Діяльність педагога в процесі навчання. Навчально-пізнавальна діяльність учнів.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Закони дидактики як вищий рівень узагальнення залежності між явищами процесу навчання.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Поняття закономірностей педагогічного процесу.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Поняття принципів навчання. Різні підходи до класифікації принципів навчання. Характеристика принципів навчання. Правила навчання.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Поняття змісту освіти. Компоненти змісту освіти. Історичний характер змісту освіти. Теорії формування змісту освіту. Сучасні вимоги до відбору змісту освіти. Оновлення змісту освіти в умовах реформування</w:t>
      </w:r>
      <w:r>
        <w:rPr>
          <w:rFonts w:eastAsia="Times New Roman" w:cs="Times New Roman" w:ascii="Times New Roman" w:hAnsi="Times New Roman"/>
          <w:spacing w:val="-9"/>
          <w:sz w:val="20"/>
          <w:szCs w:val="20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школи.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Державний стандарт базової і повної загальної середньої освіти. Нормативні документи, які регламентують зміст базової і повної загальної середньої освіти. </w:t>
      </w:r>
    </w:p>
    <w:p>
      <w:pPr>
        <w:pStyle w:val="Normal"/>
        <w:widowControl/>
        <w:suppressAutoHyphens w:val="false"/>
        <w:ind w:firstLine="709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0"/>
          <w:szCs w:val="20"/>
          <w:lang w:eastAsia="ru-RU"/>
        </w:rPr>
        <w:t>Тема 3.</w:t>
      </w:r>
      <w:r>
        <w:rPr>
          <w:rFonts w:eastAsia="Times New Roman" w:cs="Times New Roman" w:ascii="Times New Roman" w:hAnsi="Times New Roman"/>
          <w:b/>
          <w:bCs/>
          <w:iCs/>
          <w:sz w:val="20"/>
          <w:szCs w:val="20"/>
          <w:lang w:eastAsia="ru-RU"/>
        </w:rPr>
        <w:t xml:space="preserve"> Організація процесу навчання.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Поняття методів навчання. Діалектика взаємозв’язку методів з іншими компонентами процесу навчання. Об’єктивна та суб’єктивна частина методу навчання. Функції методів навчання. Прийом як частина методу і самостійна дидактична</w:t>
      </w:r>
      <w:r>
        <w:rPr>
          <w:rFonts w:eastAsia="Times New Roman" w:cs="Times New Roman" w:ascii="Times New Roman" w:hAnsi="Times New Roman"/>
          <w:spacing w:val="-4"/>
          <w:sz w:val="20"/>
          <w:szCs w:val="20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категорія.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Класифікація методів навчання. Різні підходи до класифікації методів навчання. Методи організації та здійснення навчально-пізнавальної діяльності.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Методи стимулювання навчальної діяльності учнів.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Методи контролю і самоконтролю в навчанні. Критерії вибору і поєднання методів навчання. </w:t>
      </w:r>
    </w:p>
    <w:p>
      <w:pPr>
        <w:pStyle w:val="Normal"/>
        <w:widowControl/>
        <w:suppressAutoHyphens w:val="false"/>
        <w:ind w:firstLine="709"/>
        <w:jc w:val="both"/>
        <w:rPr>
          <w:rFonts w:ascii="Times New Roman" w:hAnsi="Times New Roman" w:eastAsia="Times New Roman" w:cs="Times New Roman"/>
          <w:bCs/>
          <w:iCs/>
          <w:color w:val="FF0000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Поняття про засоби навчання. 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Поняття форм організації навчання. Класифікація форм організації навчання. Генезис систем навчання. Урок як форма організації навчання. Вимоги до сучасного уроку. Типи і структура уроків. Організація навчальної діяльності учнів на уроці.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Підготовка вчителя до уроку. Зміст попередньої та безпосередньої підготовки вчителя до уроку. Діяльність учителя у процесі реалізації плану уроку.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Нестандартні уроки.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Позаурочні форми організації навчання.</w:t>
      </w:r>
    </w:p>
    <w:p>
      <w:pPr>
        <w:pStyle w:val="Normal"/>
        <w:widowControl/>
        <w:suppressAutoHyphens w:val="false"/>
        <w:ind w:firstLine="708"/>
        <w:jc w:val="both"/>
        <w:rPr>
          <w:rFonts w:ascii="Times New Roman" w:hAnsi="Times New Roman" w:eastAsia="Times New Roman" w:cs="Times New Roman"/>
          <w:color w:val="2C2B2B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Моніторинг результатів навчання, його функції, принципи. Етапи моніторингу. Складові моніторингу навчання. Види, форми, методи перевірки. Оцінювання знань, умінь і навичок. Оцінювання рівня навчальних досягнень учнів. Поняття компетентності як результату засвоєння учнями змісту освіти.  Підсумкове та формувальне оцінювання.  Ключові знання і вміння вчителя під час оцінювання. Види оцінювання. </w:t>
      </w:r>
      <w:r>
        <w:rPr>
          <w:rFonts w:eastAsia="Times New Roman" w:cs="Times New Roman" w:ascii="Times New Roman" w:hAnsi="Times New Roman"/>
          <w:color w:val="2C2B2B"/>
          <w:sz w:val="20"/>
          <w:szCs w:val="20"/>
          <w:lang w:eastAsia="ru-RU"/>
        </w:rPr>
        <w:t>Алгоритм діяльності вчителя щодо організації формувального оцінювання. Техніки формувального оцінювання. Критерії формувального оцінювання. Облік результатів  навчально-пізнавальної діяльності учнів.</w:t>
      </w:r>
    </w:p>
    <w:p>
      <w:pPr>
        <w:pStyle w:val="Normal"/>
        <w:widowControl/>
        <w:suppressAutoHyphens w:val="false"/>
        <w:ind w:firstLine="709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0"/>
          <w:szCs w:val="20"/>
          <w:lang w:eastAsia="ru-RU"/>
        </w:rPr>
        <w:t xml:space="preserve">Тема 4. </w:t>
      </w:r>
      <w:r>
        <w:rPr>
          <w:rFonts w:eastAsia="Times New Roman" w:cs="Times New Roman" w:ascii="Times New Roman" w:hAnsi="Times New Roman"/>
          <w:b/>
          <w:bCs/>
          <w:iCs/>
          <w:sz w:val="20"/>
          <w:szCs w:val="20"/>
          <w:lang w:eastAsia="ru-RU"/>
        </w:rPr>
        <w:t xml:space="preserve">Теоретичні засади виховання.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Процес виховання, його специфіка, структурні елементи, рушійні сили, внутрішні і зовнішні суперечності. Поняття про мету виховання. Ідеал всебічно і гармонійно розвиненої особистості. Мета національного виховання на сучасному етапі розвитку нашої держави. Головні завдання виховання. </w:t>
      </w:r>
    </w:p>
    <w:p>
      <w:pPr>
        <w:pStyle w:val="Normal"/>
        <w:widowControl/>
        <w:suppressAutoHyphens w:val="false"/>
        <w:ind w:firstLine="70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Особливості організації процесу виховання в закладах загальної середньої освіти. Управління процесом виховання, його</w:t>
      </w:r>
      <w:r>
        <w:rPr>
          <w:rFonts w:eastAsia="Times New Roman" w:cs="Times New Roman" w:ascii="Times New Roman" w:hAnsi="Times New Roman"/>
          <w:spacing w:val="-4"/>
          <w:sz w:val="20"/>
          <w:szCs w:val="20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сутність. Сучасні концепції виховання. </w:t>
      </w:r>
    </w:p>
    <w:p>
      <w:pPr>
        <w:pStyle w:val="Normal"/>
        <w:widowControl/>
        <w:suppressAutoHyphens w:val="false"/>
        <w:ind w:firstLine="77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pacing w:val="-6"/>
          <w:sz w:val="20"/>
          <w:szCs w:val="20"/>
          <w:lang w:eastAsia="ru-RU"/>
        </w:rPr>
        <w:t xml:space="preserve">Самовиховання, </w:t>
      </w:r>
      <w:r>
        <w:rPr>
          <w:rFonts w:eastAsia="Times New Roman" w:cs="Times New Roman" w:ascii="Times New Roman" w:hAnsi="Times New Roman"/>
          <w:spacing w:val="-5"/>
          <w:sz w:val="20"/>
          <w:szCs w:val="20"/>
          <w:lang w:eastAsia="ru-RU"/>
        </w:rPr>
        <w:t xml:space="preserve">його </w:t>
      </w:r>
      <w:r>
        <w:rPr>
          <w:rFonts w:eastAsia="Times New Roman" w:cs="Times New Roman" w:ascii="Times New Roman" w:hAnsi="Times New Roman"/>
          <w:spacing w:val="-6"/>
          <w:sz w:val="20"/>
          <w:szCs w:val="20"/>
          <w:lang w:eastAsia="ru-RU"/>
        </w:rPr>
        <w:t xml:space="preserve">сутність, </w:t>
      </w:r>
      <w:r>
        <w:rPr>
          <w:rFonts w:eastAsia="Times New Roman" w:cs="Times New Roman" w:ascii="Times New Roman" w:hAnsi="Times New Roman"/>
          <w:spacing w:val="-5"/>
          <w:sz w:val="20"/>
          <w:szCs w:val="20"/>
          <w:lang w:eastAsia="ru-RU"/>
        </w:rPr>
        <w:t xml:space="preserve">умови,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етапи, прийоми реалізації. </w:t>
      </w:r>
      <w:r>
        <w:rPr>
          <w:rFonts w:eastAsia="Times New Roman" w:cs="Times New Roman" w:ascii="Times New Roman" w:hAnsi="Times New Roman"/>
          <w:spacing w:val="-7"/>
          <w:sz w:val="20"/>
          <w:szCs w:val="20"/>
          <w:lang w:eastAsia="ru-RU"/>
        </w:rPr>
        <w:t xml:space="preserve">Перевиховання, </w:t>
      </w:r>
      <w:r>
        <w:rPr>
          <w:rFonts w:eastAsia="Times New Roman" w:cs="Times New Roman" w:ascii="Times New Roman" w:hAnsi="Times New Roman"/>
          <w:spacing w:val="-6"/>
          <w:sz w:val="20"/>
          <w:szCs w:val="20"/>
          <w:lang w:eastAsia="ru-RU"/>
        </w:rPr>
        <w:t xml:space="preserve">його </w:t>
      </w:r>
      <w:r>
        <w:rPr>
          <w:rFonts w:eastAsia="Times New Roman" w:cs="Times New Roman" w:ascii="Times New Roman" w:hAnsi="Times New Roman"/>
          <w:spacing w:val="-7"/>
          <w:sz w:val="20"/>
          <w:szCs w:val="20"/>
          <w:lang w:eastAsia="ru-RU"/>
        </w:rPr>
        <w:t xml:space="preserve">сутність, </w:t>
      </w:r>
      <w:r>
        <w:rPr>
          <w:rFonts w:eastAsia="Times New Roman" w:cs="Times New Roman" w:ascii="Times New Roman" w:hAnsi="Times New Roman"/>
          <w:spacing w:val="-6"/>
          <w:sz w:val="20"/>
          <w:szCs w:val="20"/>
          <w:lang w:eastAsia="ru-RU"/>
        </w:rPr>
        <w:t xml:space="preserve">функції,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етапи, принципи реалізації.</w:t>
      </w:r>
    </w:p>
    <w:p>
      <w:pPr>
        <w:pStyle w:val="Normal"/>
        <w:widowControl/>
        <w:suppressAutoHyphens w:val="false"/>
        <w:ind w:firstLine="708"/>
        <w:jc w:val="both"/>
        <w:rPr>
          <w:rFonts w:ascii="Times New Roman" w:hAnsi="Times New Roman" w:eastAsia="Times New Roman" w:cs="Times New Roman"/>
          <w:b/>
          <w:b/>
          <w:bCs/>
          <w:iCs/>
          <w:color w:val="FF0000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Педагогічні закономірності виховання. Принципи виховання. Співвідношення закономірностей і принципів виховання. Характеристика основних принципів виховання Єдність і взаємозв'язок принципів виховання в педагогічному процесі.</w:t>
      </w:r>
    </w:p>
    <w:p>
      <w:pPr>
        <w:pStyle w:val="Normal"/>
        <w:widowControl/>
        <w:suppressAutoHyphens w:val="false"/>
        <w:ind w:firstLine="77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Поняття «зміст виховання». Основні напрями змісту національного виховання.. </w:t>
      </w:r>
    </w:p>
    <w:p>
      <w:pPr>
        <w:pStyle w:val="Normal"/>
        <w:widowControl/>
        <w:suppressAutoHyphens w:val="false"/>
        <w:ind w:firstLine="70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Моральне виховання – найважливіше завдання школи й основа змісту виховання. </w:t>
      </w:r>
    </w:p>
    <w:p>
      <w:pPr>
        <w:pStyle w:val="Normal"/>
        <w:widowControl/>
        <w:suppressAutoHyphens w:val="false"/>
        <w:ind w:firstLine="70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Поняття «розумове виховання учнів» та «розумова культура», їх специфіка і взаємодія. </w:t>
      </w:r>
    </w:p>
    <w:p>
      <w:pPr>
        <w:pStyle w:val="Normal"/>
        <w:widowControl/>
        <w:suppressAutoHyphens w:val="false"/>
        <w:ind w:firstLine="70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Мета і сутність, завдання і зміст, основні напрямки естетичного виховання учнів у шкільній практиці. Показники та рівні сформованості естетичної культури школяра.</w:t>
      </w:r>
    </w:p>
    <w:p>
      <w:pPr>
        <w:pStyle w:val="Normal"/>
        <w:widowControl/>
        <w:suppressAutoHyphens w:val="false"/>
        <w:ind w:firstLine="70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Екологічне виховання учнів: мета і сутність, завдання і зміст, основні напрями. Показники та рівні сформованості екологічної культури школяра.</w:t>
      </w:r>
    </w:p>
    <w:p>
      <w:pPr>
        <w:pStyle w:val="Normal"/>
        <w:widowControl/>
        <w:suppressAutoHyphens w:val="false"/>
        <w:ind w:firstLine="70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Фізичне виховання учнів. Трудове виховання і професійна орієнтація. Статеве виховання. Гендерне виховання – нагальна потреба сучасної освітньої</w:t>
      </w:r>
      <w:r>
        <w:rPr>
          <w:rFonts w:eastAsia="Times New Roman" w:cs="Times New Roman" w:ascii="Times New Roman" w:hAnsi="Times New Roman"/>
          <w:spacing w:val="62"/>
          <w:sz w:val="20"/>
          <w:szCs w:val="20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системи. Національне виховання.</w:t>
      </w:r>
    </w:p>
    <w:p>
      <w:pPr>
        <w:pStyle w:val="Normal"/>
        <w:widowControl/>
        <w:suppressAutoHyphens w:val="false"/>
        <w:ind w:right="121" w:firstLine="720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Сутність понять «метод виховання», «прийом виховання», «засоби виховання». Вибір методу та ефективність його використання. Класифікація методів виховання: методи формування свідомості; методи формування суспільної поведінки; методи стимулювання діяльності та поведінки; методи контролю й аналізу рівня вихованості. Характеристика основних груп методів виховання. Застосування методів виховання в умовах організації сучасного освітнього процесу. Форми організації процесу виховання.</w:t>
      </w:r>
    </w:p>
    <w:p>
      <w:pPr>
        <w:pStyle w:val="Normal"/>
        <w:widowControl/>
        <w:suppressAutoHyphens w:val="false"/>
        <w:ind w:firstLine="709"/>
        <w:jc w:val="both"/>
        <w:rPr>
          <w:rFonts w:ascii="Times New Roman" w:hAnsi="Times New Roman" w:eastAsia="Times New Roman" w:cs="Times New Roman"/>
          <w:b/>
          <w:b/>
          <w:bCs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0"/>
          <w:szCs w:val="20"/>
          <w:lang w:eastAsia="ru-RU"/>
        </w:rPr>
        <w:t xml:space="preserve">Тема 5. Методичне керівництво виховним процесом у школі. </w:t>
      </w:r>
    </w:p>
    <w:p>
      <w:pPr>
        <w:pStyle w:val="Normal"/>
        <w:widowControl/>
        <w:suppressAutoHyphens w:val="false"/>
        <w:ind w:firstLine="709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Calibri" w:cs="Times New Roman" w:ascii="Times New Roman" w:hAnsi="Times New Roman"/>
          <w:sz w:val="20"/>
          <w:szCs w:val="20"/>
        </w:rPr>
        <w:t>Педагогіка партнерства ‒ основа взаємодії суб’єктів освітньої діяльності. Взаємодія суб’єктів виховного процесу</w:t>
      </w:r>
    </w:p>
    <w:p>
      <w:pPr>
        <w:pStyle w:val="Normal"/>
        <w:widowControl/>
        <w:suppressAutoHyphens w:val="false"/>
        <w:ind w:firstLine="708"/>
        <w:jc w:val="both"/>
        <w:rPr>
          <w:rFonts w:ascii="Times New Roman" w:hAnsi="Times New Roman" w:eastAsia="Times New Roman" w:cs="Times New Roman"/>
          <w:bCs/>
          <w:iCs/>
          <w:color w:val="FF0000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Професійно-педагогічні вимоги до особистості класного керівника. Його функції і обов’язки. Організаційно-педагогічна робота класного керівника. Планування й облік роботи класного керівника. Напрями та форми роботи класного керівника. Взаємодія класного керівника з учнями, характер відносин у системі «класний керівник-клас-учень», «класний керівник-актив класу», «класний керівник-клас-учень- батьки». Виявлення ефективності виховання. П</w:t>
      </w:r>
      <w:r>
        <w:rPr>
          <w:rFonts w:eastAsia="Times New Roman" w:cs="Times New Roman" w:ascii="Times New Roman" w:hAnsi="Times New Roman"/>
          <w:bCs/>
          <w:iCs/>
          <w:sz w:val="20"/>
          <w:szCs w:val="20"/>
          <w:lang w:eastAsia="ru-RU"/>
        </w:rPr>
        <w:t>ринципи превентивної педагогічної</w:t>
      </w:r>
      <w:r>
        <w:rPr>
          <w:rFonts w:eastAsia="Times New Roman" w:cs="Times New Roman" w:ascii="Times New Roman" w:hAnsi="Times New Roman"/>
          <w:bCs/>
          <w:iCs/>
          <w:color w:val="FF0000"/>
          <w:sz w:val="20"/>
          <w:szCs w:val="20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bCs/>
          <w:iCs/>
          <w:sz w:val="20"/>
          <w:szCs w:val="20"/>
          <w:lang w:eastAsia="ru-RU"/>
        </w:rPr>
        <w:t>діяльності</w:t>
      </w:r>
      <w:r>
        <w:rPr>
          <w:rFonts w:eastAsia="Times New Roman" w:cs="Times New Roman" w:ascii="Times New Roman" w:hAnsi="Times New Roman"/>
          <w:bCs/>
          <w:iCs/>
          <w:color w:val="FF0000"/>
          <w:sz w:val="20"/>
          <w:szCs w:val="20"/>
          <w:lang w:eastAsia="ru-RU"/>
        </w:rPr>
        <w:t xml:space="preserve">. </w:t>
      </w:r>
    </w:p>
    <w:p>
      <w:pPr>
        <w:pStyle w:val="Normal"/>
        <w:widowControl/>
        <w:suppressAutoHyphens w:val="false"/>
        <w:ind w:firstLine="70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Сім’я – виховне середовище дитини. Види і типи сімей та особливості їх впливу на дитину. Конвенція «Про права дитини» як законодавча і моральна основа взаємин дорослих та дітей. Тенденції сімейного виховання в сучасному суспільстві. Національні традиції. </w:t>
      </w:r>
    </w:p>
    <w:p>
      <w:pPr>
        <w:pStyle w:val="Normal"/>
        <w:widowControl/>
        <w:suppressAutoHyphens w:val="false"/>
        <w:ind w:firstLine="720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Національна програма виховання дітей та учнівської молоді в Україні про основні завдання та зміст сімейного виховання відповідно до вікових особливостей дитини. Взаємозв’язок школи та сім`ї. Педагогіка партнерства. Педагогічна етика і такт у взаємовідносинах з батьками дітей. Спілкування – основний шлях взаємодії вчителя з батьками. Особливості проведення батьківських зборів. Індивідуальні зустрічі з батьками. Шляхи залучення батьків до освітнього процесу. Педагогічна просвіта батьків. </w:t>
      </w:r>
    </w:p>
    <w:p>
      <w:pPr>
        <w:pStyle w:val="Normal"/>
        <w:widowControl/>
        <w:suppressAutoHyphens w:val="false"/>
        <w:ind w:firstLine="720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fldChar w:fldCharType="begin"/>
      </w:r>
      <w:r>
        <w:rPr>
          <w:sz w:val="20"/>
          <w:szCs w:val="20"/>
          <w:rFonts w:eastAsia="Times New Roman" w:cs="Times New Roman" w:ascii="Times New Roman" w:hAnsi="Times New Roman"/>
          <w:lang w:eastAsia="ru-RU"/>
        </w:rPr>
        <w:instrText xml:space="preserve"> HYPERLINK "http://www.tspu.edu.ua/kurs/4/Lekcii/Lec10.html" \l "1"</w:instrText>
      </w:r>
      <w:r>
        <w:rPr>
          <w:sz w:val="20"/>
          <w:szCs w:val="20"/>
          <w:rFonts w:eastAsia="Times New Roman" w:cs="Times New Roman" w:ascii="Times New Roman" w:hAnsi="Times New Roman"/>
          <w:lang w:eastAsia="ru-RU"/>
        </w:rPr>
        <w:fldChar w:fldCharType="separate"/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Колектив як соціокультурне середовище виховання і розвитку.</w:t>
      </w:r>
      <w:r>
        <w:rPr>
          <w:sz w:val="20"/>
          <w:szCs w:val="20"/>
          <w:rFonts w:eastAsia="Times New Roman" w:cs="Times New Roman" w:ascii="Times New Roman" w:hAnsi="Times New Roman"/>
          <w:lang w:eastAsia="ru-RU"/>
        </w:rPr>
        <w:fldChar w:fldCharType="end"/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 Поняття «колектив», його сутність, ознаки, функції, структура. Поняття «дитячий колектив», його особливості. </w:t>
      </w:r>
      <w:r>
        <w:fldChar w:fldCharType="begin"/>
      </w:r>
      <w:r>
        <w:rPr>
          <w:sz w:val="20"/>
          <w:szCs w:val="20"/>
          <w:rFonts w:eastAsia="Times New Roman" w:cs="Times New Roman" w:ascii="Times New Roman" w:hAnsi="Times New Roman"/>
          <w:lang w:eastAsia="ru-RU"/>
        </w:rPr>
        <w:instrText xml:space="preserve"> HYPERLINK "http://www.tspu.edu.ua/kurs/4/Lekcii/Lec10.html" \l "4"</w:instrText>
      </w:r>
      <w:r>
        <w:rPr>
          <w:sz w:val="20"/>
          <w:szCs w:val="20"/>
          <w:rFonts w:eastAsia="Times New Roman" w:cs="Times New Roman" w:ascii="Times New Roman" w:hAnsi="Times New Roman"/>
          <w:lang w:eastAsia="ru-RU"/>
        </w:rPr>
        <w:fldChar w:fldCharType="separate"/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Особливості розвитку дитячого колективу.</w:t>
      </w:r>
      <w:r>
        <w:rPr>
          <w:sz w:val="20"/>
          <w:szCs w:val="20"/>
          <w:rFonts w:eastAsia="Times New Roman" w:cs="Times New Roman" w:ascii="Times New Roman" w:hAnsi="Times New Roman"/>
          <w:lang w:eastAsia="ru-RU"/>
        </w:rPr>
        <w:fldChar w:fldCharType="end"/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 Стадії розвитку учнівського колективу. Розвиток внутрішньоколективних відносин як важливої умови формування морального досвіду школярів. Учнівське самоврядування.  Схема вивчення особистості учня та колективу.</w:t>
      </w:r>
    </w:p>
    <w:p>
      <w:pPr>
        <w:pStyle w:val="Normal"/>
        <w:widowControl/>
        <w:suppressAutoHyphens w:val="false"/>
        <w:ind w:firstLine="709"/>
        <w:jc w:val="both"/>
        <w:rPr>
          <w:rFonts w:ascii="Times New Roman" w:hAnsi="Times New Roman" w:eastAsia="Times New Roman" w:cs="Times New Roman"/>
          <w:b/>
          <w:b/>
          <w:bCs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0"/>
          <w:szCs w:val="20"/>
          <w:lang w:eastAsia="ru-RU"/>
        </w:rPr>
        <w:t xml:space="preserve">Тема 6. Організація освітнього процесу в сучасній школі. </w:t>
      </w:r>
    </w:p>
    <w:p>
      <w:pPr>
        <w:pStyle w:val="Normal"/>
        <w:widowControl/>
        <w:suppressAutoHyphens w:val="false"/>
        <w:ind w:firstLine="709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Сутність поняття “технології навчанняˮ. Класифікація технологій. Принципи відбору педагогічних технологій та забезпечення педагогічного процесу. Таксономія Блума. </w:t>
      </w:r>
    </w:p>
    <w:p>
      <w:pPr>
        <w:pStyle w:val="Normal"/>
        <w:widowControl/>
        <w:suppressAutoHyphens w:val="false"/>
        <w:spacing w:before="0" w:after="0"/>
        <w:ind w:left="502" w:hanging="0"/>
        <w:contextualSpacing/>
        <w:jc w:val="both"/>
        <w:rPr>
          <w:rFonts w:ascii="Times New Roman" w:hAnsi="Times New Roman" w:eastAsia="Times New Roman" w:cs="Times New Roman"/>
          <w:sz w:val="20"/>
          <w:szCs w:val="20"/>
        </w:rPr>
      </w:pPr>
      <w:r>
        <w:rPr>
          <w:rFonts w:eastAsia="Times New Roman" w:cs="Times New Roman" w:ascii="Times New Roman" w:hAnsi="Times New Roman"/>
          <w:sz w:val="20"/>
          <w:szCs w:val="20"/>
        </w:rPr>
        <w:t xml:space="preserve">Інтерактивна технологія навчання. Проєктна технологія навчання. </w:t>
      </w:r>
    </w:p>
    <w:p>
      <w:pPr>
        <w:pStyle w:val="Normal"/>
        <w:widowControl/>
        <w:suppressAutoHyphens w:val="false"/>
        <w:spacing w:before="0" w:after="0"/>
        <w:ind w:left="502" w:hanging="0"/>
        <w:contextualSpacing/>
        <w:jc w:val="both"/>
        <w:rPr>
          <w:rFonts w:ascii="Times New Roman" w:hAnsi="Times New Roman" w:eastAsia="Times New Roman" w:cs="Times New Roman"/>
          <w:sz w:val="20"/>
          <w:szCs w:val="20"/>
        </w:rPr>
      </w:pPr>
      <w:r>
        <w:rPr>
          <w:rFonts w:eastAsia="Times New Roman" w:cs="Times New Roman" w:ascii="Times New Roman" w:hAnsi="Times New Roman"/>
          <w:sz w:val="20"/>
          <w:szCs w:val="20"/>
        </w:rPr>
        <w:t xml:space="preserve">Технологія розвитку критичного мислення учнів. </w:t>
      </w:r>
    </w:p>
    <w:p>
      <w:pPr>
        <w:pStyle w:val="Normal"/>
        <w:widowControl/>
        <w:suppressAutoHyphens w:val="false"/>
        <w:ind w:firstLine="70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Сутність та зміст поняття «педагогічне спілкування». Функції спілкування. Етапи педагогічного спілкування. Стилі педагогічного спілкування. Установка в процесі педагогічного спілкування. Конфлікт у педагогічному спілкуванні, шляхи його вирішення.</w:t>
      </w:r>
    </w:p>
    <w:p>
      <w:pPr>
        <w:pStyle w:val="Normal"/>
        <w:ind w:left="222" w:right="145" w:firstLine="70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 xml:space="preserve">Політика курсу (особливості проведення навчальних занять): </w:t>
      </w:r>
      <w:r>
        <w:rPr>
          <w:rFonts w:cs="Times New Roman" w:ascii="Times New Roman" w:hAnsi="Times New Roman"/>
          <w:sz w:val="20"/>
          <w:szCs w:val="20"/>
        </w:rPr>
        <w:t>від студента очікується здатність відповідати на питання за вивченим матеріалом, обговорення дискусійних питань, виконання самостійної роботи</w:t>
      </w:r>
      <w:r>
        <w:rPr>
          <w:rFonts w:cs="Times New Roman" w:ascii="Times New Roman" w:hAnsi="Times New Roman"/>
          <w:sz w:val="20"/>
          <w:szCs w:val="20"/>
          <w:lang w:val="ru-RU"/>
        </w:rPr>
        <w:t>,</w:t>
      </w:r>
      <w:r>
        <w:rPr>
          <w:rFonts w:cs="Times New Roman" w:ascii="Times New Roman" w:hAnsi="Times New Roman"/>
          <w:sz w:val="20"/>
          <w:szCs w:val="20"/>
        </w:rPr>
        <w:t xml:space="preserve"> активна участь у практичних заняттях.</w:t>
      </w:r>
    </w:p>
    <w:p>
      <w:pPr>
        <w:pStyle w:val="Normal"/>
        <w:ind w:left="222" w:right="148" w:firstLine="70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 xml:space="preserve">Технічне й програмне забезпечення/обладнання, наочність: </w:t>
      </w:r>
      <w:r>
        <w:rPr>
          <w:rFonts w:cs="Times New Roman" w:ascii="Times New Roman" w:hAnsi="Times New Roman"/>
          <w:sz w:val="20"/>
          <w:szCs w:val="20"/>
        </w:rPr>
        <w:t>персональний комп’ютер.</w:t>
      </w:r>
    </w:p>
    <w:p>
      <w:pPr>
        <w:pStyle w:val="Style18"/>
        <w:ind w:left="222" w:right="154" w:firstLine="707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Система оцінювання та вимоги</w:t>
      </w:r>
      <w:r>
        <w:rPr>
          <w:rFonts w:cs="Times New Roman" w:ascii="Times New Roman" w:hAnsi="Times New Roman"/>
        </w:rPr>
        <w:t>: оцінювання знань студентів здійснюється на основі результатів поточного контролю та підсумкового контролю. Підсумкова оцінка є сумою балів набраних під час поточного контролю та підсумкового контролю і вираховується за 100-бальною шкалою.</w:t>
      </w:r>
    </w:p>
    <w:p>
      <w:pPr>
        <w:pStyle w:val="Style18"/>
        <w:ind w:left="222" w:right="152" w:firstLine="707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Поточний контроль здійснюється під час лекційних та практичних занять. Лекційні заняття оцінюються на основі зроблених конспектів лекцій. При оцінюванні на практичних заняттях враховується активна участь студентів у занятті, здатність відповідати на питання за вивченим матеріалом, обговорення дискусійних питань, виконання практичних завдань, самостійної роботи.</w:t>
      </w:r>
    </w:p>
    <w:p>
      <w:pPr>
        <w:pStyle w:val="Style18"/>
        <w:ind w:left="222" w:right="149" w:firstLine="707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Підсумковий контроль відбувається у формі екзамену, який передбачає перевірку теоретичних знань та практичних навичок.</w:t>
      </w:r>
    </w:p>
    <w:p>
      <w:pPr>
        <w:pStyle w:val="Style18"/>
        <w:ind w:left="222" w:right="147" w:firstLine="707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Підсумкова оцінка є сумою балів, набраних за весь курс навчання під час поточного контролю та підсумкового семестрового контролю</w:t>
      </w:r>
      <w:r>
        <w:rPr>
          <w:rFonts w:cs="Times New Roman" w:ascii="Times New Roman" w:hAnsi="Times New Roman"/>
          <w:spacing w:val="-1"/>
        </w:rPr>
        <w:t xml:space="preserve"> </w:t>
      </w:r>
      <w:r>
        <w:rPr>
          <w:rFonts w:cs="Times New Roman" w:ascii="Times New Roman" w:hAnsi="Times New Roman"/>
        </w:rPr>
        <w:t>(екзамену) (50+50=100) та вираховується за університетською шкалою та шкалою ЄКТС.</w:t>
      </w:r>
    </w:p>
    <w:p>
      <w:pPr>
        <w:pStyle w:val="Style18"/>
        <w:ind w:left="222" w:right="147" w:firstLine="707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Таблиця</w:t>
      </w:r>
      <w:r>
        <w:rPr>
          <w:rFonts w:cs="Times New Roman" w:ascii="Times New Roman" w:hAnsi="Times New Roman"/>
          <w:b/>
          <w:spacing w:val="-10"/>
        </w:rPr>
        <w:t xml:space="preserve"> </w:t>
      </w:r>
      <w:r>
        <w:rPr>
          <w:rFonts w:cs="Times New Roman" w:ascii="Times New Roman" w:hAnsi="Times New Roman"/>
          <w:b/>
        </w:rPr>
        <w:t>1.</w:t>
      </w:r>
      <w:r>
        <w:rPr>
          <w:rFonts w:cs="Times New Roman" w:ascii="Times New Roman" w:hAnsi="Times New Roman"/>
          <w:b/>
          <w:spacing w:val="-7"/>
        </w:rPr>
        <w:t xml:space="preserve"> </w:t>
      </w:r>
      <w:r>
        <w:rPr>
          <w:rFonts w:cs="Times New Roman" w:ascii="Times New Roman" w:hAnsi="Times New Roman"/>
          <w:b/>
        </w:rPr>
        <w:t>Максимальна</w:t>
      </w:r>
      <w:r>
        <w:rPr>
          <w:rFonts w:cs="Times New Roman" w:ascii="Times New Roman" w:hAnsi="Times New Roman"/>
          <w:b/>
          <w:spacing w:val="-9"/>
        </w:rPr>
        <w:t xml:space="preserve"> </w:t>
      </w:r>
      <w:r>
        <w:rPr>
          <w:rFonts w:cs="Times New Roman" w:ascii="Times New Roman" w:hAnsi="Times New Roman"/>
          <w:b/>
        </w:rPr>
        <w:t>вага</w:t>
      </w:r>
      <w:r>
        <w:rPr>
          <w:rFonts w:cs="Times New Roman" w:ascii="Times New Roman" w:hAnsi="Times New Roman"/>
          <w:b/>
          <w:spacing w:val="-7"/>
        </w:rPr>
        <w:t xml:space="preserve"> </w:t>
      </w:r>
      <w:r>
        <w:rPr>
          <w:rFonts w:cs="Times New Roman" w:ascii="Times New Roman" w:hAnsi="Times New Roman"/>
          <w:b/>
        </w:rPr>
        <w:t>поточного</w:t>
      </w:r>
      <w:r>
        <w:rPr>
          <w:rFonts w:cs="Times New Roman" w:ascii="Times New Roman" w:hAnsi="Times New Roman"/>
          <w:b/>
          <w:spacing w:val="-8"/>
        </w:rPr>
        <w:t xml:space="preserve"> </w:t>
      </w:r>
      <w:r>
        <w:rPr>
          <w:rFonts w:cs="Times New Roman" w:ascii="Times New Roman" w:hAnsi="Times New Roman"/>
          <w:b/>
        </w:rPr>
        <w:t>та</w:t>
      </w:r>
      <w:r>
        <w:rPr>
          <w:rFonts w:cs="Times New Roman" w:ascii="Times New Roman" w:hAnsi="Times New Roman"/>
          <w:b/>
          <w:spacing w:val="-9"/>
        </w:rPr>
        <w:t xml:space="preserve"> </w:t>
      </w:r>
      <w:r>
        <w:rPr>
          <w:rFonts w:cs="Times New Roman" w:ascii="Times New Roman" w:hAnsi="Times New Roman"/>
          <w:b/>
        </w:rPr>
        <w:t>підсумкового</w:t>
      </w:r>
      <w:r>
        <w:rPr>
          <w:rFonts w:cs="Times New Roman" w:ascii="Times New Roman" w:hAnsi="Times New Roman"/>
          <w:b/>
          <w:spacing w:val="-8"/>
        </w:rPr>
        <w:t xml:space="preserve"> </w:t>
      </w:r>
      <w:r>
        <w:rPr>
          <w:rFonts w:cs="Times New Roman" w:ascii="Times New Roman" w:hAnsi="Times New Roman"/>
          <w:b/>
        </w:rPr>
        <w:t>контролю</w:t>
      </w:r>
      <w:r>
        <w:rPr>
          <w:rFonts w:cs="Times New Roman" w:ascii="Times New Roman" w:hAnsi="Times New Roman"/>
          <w:b/>
          <w:spacing w:val="-6"/>
        </w:rPr>
        <w:t xml:space="preserve"> </w:t>
      </w:r>
      <w:r>
        <w:rPr>
          <w:rFonts w:cs="Times New Roman" w:ascii="Times New Roman" w:hAnsi="Times New Roman"/>
          <w:b/>
        </w:rPr>
        <w:t>у</w:t>
      </w:r>
      <w:r>
        <w:rPr>
          <w:rFonts w:cs="Times New Roman" w:ascii="Times New Roman" w:hAnsi="Times New Roman"/>
          <w:b/>
          <w:spacing w:val="-9"/>
        </w:rPr>
        <w:t xml:space="preserve"> </w:t>
      </w:r>
      <w:r>
        <w:rPr>
          <w:rFonts w:cs="Times New Roman" w:ascii="Times New Roman" w:hAnsi="Times New Roman"/>
          <w:b/>
          <w:spacing w:val="-2"/>
        </w:rPr>
        <w:t>балах</w:t>
      </w:r>
    </w:p>
    <w:tbl>
      <w:tblPr>
        <w:tblStyle w:val="TableNormal"/>
        <w:tblW w:w="9570" w:type="dxa"/>
        <w:jc w:val="left"/>
        <w:tblInd w:w="287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3227"/>
        <w:gridCol w:w="2693"/>
        <w:gridCol w:w="2377"/>
        <w:gridCol w:w="1272"/>
      </w:tblGrid>
      <w:tr>
        <w:trPr>
          <w:trHeight w:val="691" w:hRule="atLeast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9" w:after="0"/>
              <w:jc w:val="left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95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Вид</w:t>
            </w:r>
            <w:r>
              <w:rPr>
                <w:rFonts w:cs="Times New Roman" w:ascii="Times New Roman" w:hAnsi="Times New Roman"/>
                <w:spacing w:val="-6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контролю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119" w:right="111" w:firstLine="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Максимальна вага поточного</w:t>
            </w:r>
            <w:r>
              <w:rPr>
                <w:rFonts w:cs="Times New Roman" w:ascii="Times New Roman" w:hAnsi="Times New Roman"/>
                <w:spacing w:val="-14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та</w:t>
            </w:r>
            <w:r>
              <w:rPr>
                <w:rFonts w:cs="Times New Roman" w:ascii="Times New Roman" w:hAnsi="Times New Roman"/>
                <w:spacing w:val="-14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підсумкового контролю у балах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left="513" w:right="220" w:hanging="279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Частина</w:t>
            </w:r>
            <w:r>
              <w:rPr>
                <w:rFonts w:cs="Times New Roman" w:ascii="Times New Roman" w:hAnsi="Times New Roman"/>
                <w:spacing w:val="-14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підсумкової оцінки у балах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left="348" w:hanging="238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Підсумкова оцінка</w:t>
            </w:r>
          </w:p>
        </w:tc>
      </w:tr>
      <w:tr>
        <w:trPr>
          <w:trHeight w:val="340" w:hRule="atLeast"/>
        </w:trPr>
        <w:tc>
          <w:tcPr>
            <w:tcW w:w="59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051" w:right="204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Поточний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контроль</w:t>
            </w:r>
          </w:p>
        </w:tc>
        <w:tc>
          <w:tcPr>
            <w:tcW w:w="23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49" w:after="0"/>
              <w:ind w:left="1059" w:right="105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50</w:t>
            </w:r>
          </w:p>
        </w:tc>
        <w:tc>
          <w:tcPr>
            <w:tcW w:w="12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5" w:after="0"/>
              <w:jc w:val="left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456" w:right="45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100</w:t>
            </w:r>
          </w:p>
        </w:tc>
      </w:tr>
      <w:tr>
        <w:trPr>
          <w:trHeight w:val="337" w:hRule="atLeast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Лекційні</w:t>
            </w:r>
            <w:r>
              <w:rPr>
                <w:rFonts w:cs="Times New Roman" w:ascii="Times New Roman" w:hAnsi="Times New Roman"/>
                <w:spacing w:val="-13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заняття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20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7,5</w:t>
            </w:r>
          </w:p>
        </w:tc>
        <w:tc>
          <w:tcPr>
            <w:tcW w:w="2377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  <w:tc>
          <w:tcPr>
            <w:tcW w:w="1272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Практичні</w:t>
            </w:r>
            <w:r>
              <w:rPr>
                <w:rFonts w:cs="Times New Roman" w:ascii="Times New Roman" w:hAnsi="Times New Roman"/>
                <w:spacing w:val="-12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заняття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1152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42,5</w:t>
            </w:r>
          </w:p>
        </w:tc>
        <w:tc>
          <w:tcPr>
            <w:tcW w:w="2377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  <w:tc>
          <w:tcPr>
            <w:tcW w:w="1272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59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922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Підсумковий</w:t>
            </w:r>
            <w:r>
              <w:rPr>
                <w:rFonts w:cs="Times New Roman" w:ascii="Times New Roman" w:hAnsi="Times New Roman"/>
                <w:spacing w:val="4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контроль</w:t>
            </w:r>
          </w:p>
        </w:tc>
        <w:tc>
          <w:tcPr>
            <w:tcW w:w="23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8" w:after="0"/>
              <w:jc w:val="left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" w:after="0"/>
              <w:ind w:left="1059" w:right="105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50</w:t>
            </w:r>
          </w:p>
        </w:tc>
        <w:tc>
          <w:tcPr>
            <w:tcW w:w="1272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Екзамен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233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50</w:t>
            </w:r>
          </w:p>
        </w:tc>
        <w:tc>
          <w:tcPr>
            <w:tcW w:w="2377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  <w:tc>
          <w:tcPr>
            <w:tcW w:w="1272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</w:tr>
    </w:tbl>
    <w:p>
      <w:pPr>
        <w:pStyle w:val="Style18"/>
        <w:spacing w:before="9" w:after="0"/>
        <w:ind w:left="0" w:hanging="0"/>
        <w:jc w:val="left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before="0" w:after="6"/>
        <w:ind w:left="932" w:right="865" w:hanging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Таблиця</w:t>
      </w:r>
      <w:r>
        <w:rPr>
          <w:rFonts w:cs="Times New Roman" w:ascii="Times New Roman" w:hAnsi="Times New Roman"/>
          <w:b/>
          <w:spacing w:val="-10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2.</w:t>
      </w:r>
      <w:r>
        <w:rPr>
          <w:rFonts w:cs="Times New Roman" w:ascii="Times New Roman" w:hAnsi="Times New Roman"/>
          <w:b/>
          <w:spacing w:val="-6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Розподіл</w:t>
      </w:r>
      <w:r>
        <w:rPr>
          <w:rFonts w:cs="Times New Roman" w:ascii="Times New Roman" w:hAnsi="Times New Roman"/>
          <w:b/>
          <w:spacing w:val="-8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набраних</w:t>
      </w:r>
      <w:r>
        <w:rPr>
          <w:rFonts w:cs="Times New Roman" w:ascii="Times New Roman" w:hAnsi="Times New Roman"/>
          <w:b/>
          <w:spacing w:val="-7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студентом</w:t>
      </w:r>
      <w:r>
        <w:rPr>
          <w:rFonts w:cs="Times New Roman" w:ascii="Times New Roman" w:hAnsi="Times New Roman"/>
          <w:b/>
          <w:spacing w:val="-9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балів</w:t>
      </w:r>
      <w:r>
        <w:rPr>
          <w:rFonts w:cs="Times New Roman" w:ascii="Times New Roman" w:hAnsi="Times New Roman"/>
          <w:b/>
          <w:spacing w:val="-6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під</w:t>
      </w:r>
      <w:r>
        <w:rPr>
          <w:rFonts w:cs="Times New Roman" w:ascii="Times New Roman" w:hAnsi="Times New Roman"/>
          <w:b/>
          <w:spacing w:val="-8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час</w:t>
      </w:r>
      <w:r>
        <w:rPr>
          <w:rFonts w:cs="Times New Roman" w:ascii="Times New Roman" w:hAnsi="Times New Roman"/>
          <w:b/>
          <w:spacing w:val="-8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поточного</w:t>
      </w:r>
      <w:r>
        <w:rPr>
          <w:rFonts w:cs="Times New Roman" w:ascii="Times New Roman" w:hAnsi="Times New Roman"/>
          <w:b/>
          <w:spacing w:val="-8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pacing w:val="-2"/>
          <w:sz w:val="20"/>
          <w:szCs w:val="20"/>
        </w:rPr>
        <w:t>контролю</w:t>
      </w:r>
    </w:p>
    <w:tbl>
      <w:tblPr>
        <w:tblStyle w:val="TableNormal"/>
        <w:tblW w:w="9571" w:type="dxa"/>
        <w:jc w:val="left"/>
        <w:tblInd w:w="287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2521"/>
        <w:gridCol w:w="1004"/>
        <w:gridCol w:w="1006"/>
        <w:gridCol w:w="1008"/>
        <w:gridCol w:w="1014"/>
        <w:gridCol w:w="1009"/>
        <w:gridCol w:w="1006"/>
        <w:gridCol w:w="1001"/>
      </w:tblGrid>
      <w:tr>
        <w:trPr>
          <w:trHeight w:val="340" w:hRule="atLeast"/>
        </w:trPr>
        <w:tc>
          <w:tcPr>
            <w:tcW w:w="2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50" w:after="0"/>
              <w:ind w:left="753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Види</w:t>
            </w:r>
            <w:r>
              <w:rPr>
                <w:rFonts w:cs="Times New Roman" w:ascii="Times New Roman" w:hAnsi="Times New Roman"/>
                <w:spacing w:val="-7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робіт</w:t>
            </w:r>
          </w:p>
        </w:tc>
        <w:tc>
          <w:tcPr>
            <w:tcW w:w="704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7" w:right="2373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Кількість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набраних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балів</w:t>
            </w:r>
          </w:p>
        </w:tc>
      </w:tr>
      <w:tr>
        <w:trPr>
          <w:trHeight w:val="338" w:hRule="atLeast"/>
        </w:trPr>
        <w:tc>
          <w:tcPr>
            <w:tcW w:w="2521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3" w:after="0"/>
              <w:ind w:right="292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1-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17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3" w:after="0"/>
              <w:ind w:left="235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18-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3" w:after="0"/>
              <w:ind w:left="235" w:right="22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26-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29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3" w:after="0"/>
              <w:ind w:left="237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30-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32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3" w:after="0"/>
              <w:ind w:left="232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33-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39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3" w:after="0"/>
              <w:ind w:left="235" w:right="232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40-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45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3" w:after="0"/>
              <w:ind w:left="236" w:right="232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46-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50</w:t>
            </w:r>
          </w:p>
        </w:tc>
      </w:tr>
      <w:tr>
        <w:trPr>
          <w:trHeight w:val="340" w:hRule="atLeast"/>
        </w:trPr>
        <w:tc>
          <w:tcPr>
            <w:tcW w:w="2521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F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5" w:right="223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FX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1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E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1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D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C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B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A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1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352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2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352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3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4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38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5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6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7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8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9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10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37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11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12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13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14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15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101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Всього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3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2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2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3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6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7,5</w:t>
            </w:r>
          </w:p>
        </w:tc>
      </w:tr>
      <w:tr>
        <w:trPr>
          <w:trHeight w:val="337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1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352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1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5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2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5" w:after="0"/>
              <w:ind w:right="352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5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5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5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5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5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5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3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352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4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352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5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352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6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352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38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7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352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8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right="352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9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364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right="354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36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right="355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10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64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354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6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355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11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64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354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6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355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12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64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354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6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355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13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64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354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6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355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37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14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64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354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6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355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15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364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right="354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36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right="355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101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Всього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91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16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299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23,5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92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27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7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2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34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5" w:right="232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39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300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42,5</w:t>
            </w:r>
          </w:p>
        </w:tc>
      </w:tr>
      <w:tr>
        <w:trPr>
          <w:trHeight w:val="46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0" w:before="0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Разом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максимальна</w:t>
            </w:r>
          </w:p>
          <w:p>
            <w:pPr>
              <w:pStyle w:val="TableParagraph"/>
              <w:widowControl w:val="false"/>
              <w:suppressAutoHyphens w:val="true"/>
              <w:spacing w:lineRule="exact" w:line="220" w:before="0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кількість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набраних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балів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05" w:after="0"/>
              <w:ind w:left="391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17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05" w:after="0"/>
              <w:ind w:right="383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05" w:after="0"/>
              <w:ind w:left="392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29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05" w:after="0"/>
              <w:ind w:left="237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32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05" w:after="0"/>
              <w:ind w:left="232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39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05" w:after="0"/>
              <w:ind w:left="235" w:right="232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45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05" w:after="0"/>
              <w:ind w:right="384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50</w:t>
            </w:r>
          </w:p>
        </w:tc>
      </w:tr>
    </w:tbl>
    <w:p>
      <w:pPr>
        <w:pStyle w:val="Style18"/>
        <w:spacing w:before="2" w:after="0"/>
        <w:ind w:left="0" w:hanging="0"/>
        <w:jc w:val="left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before="93" w:after="6"/>
        <w:ind w:left="932" w:right="870" w:hanging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Таблиця</w:t>
      </w:r>
      <w:r>
        <w:rPr>
          <w:rFonts w:cs="Times New Roman" w:ascii="Times New Roman" w:hAnsi="Times New Roman"/>
          <w:b/>
          <w:spacing w:val="-10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3.</w:t>
      </w:r>
      <w:r>
        <w:rPr>
          <w:rFonts w:cs="Times New Roman" w:ascii="Times New Roman" w:hAnsi="Times New Roman"/>
          <w:b/>
          <w:spacing w:val="-6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Розподіл</w:t>
      </w:r>
      <w:r>
        <w:rPr>
          <w:rFonts w:cs="Times New Roman" w:ascii="Times New Roman" w:hAnsi="Times New Roman"/>
          <w:b/>
          <w:spacing w:val="-9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набраних</w:t>
      </w:r>
      <w:r>
        <w:rPr>
          <w:rFonts w:cs="Times New Roman" w:ascii="Times New Roman" w:hAnsi="Times New Roman"/>
          <w:b/>
          <w:spacing w:val="-7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студентом</w:t>
      </w:r>
      <w:r>
        <w:rPr>
          <w:rFonts w:cs="Times New Roman" w:ascii="Times New Roman" w:hAnsi="Times New Roman"/>
          <w:b/>
          <w:spacing w:val="-9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балів</w:t>
      </w:r>
      <w:r>
        <w:rPr>
          <w:rFonts w:cs="Times New Roman" w:ascii="Times New Roman" w:hAnsi="Times New Roman"/>
          <w:b/>
          <w:spacing w:val="-7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під</w:t>
      </w:r>
      <w:r>
        <w:rPr>
          <w:rFonts w:cs="Times New Roman" w:ascii="Times New Roman" w:hAnsi="Times New Roman"/>
          <w:b/>
          <w:spacing w:val="-8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час</w:t>
      </w:r>
      <w:r>
        <w:rPr>
          <w:rFonts w:cs="Times New Roman" w:ascii="Times New Roman" w:hAnsi="Times New Roman"/>
          <w:b/>
          <w:spacing w:val="-8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підсумкового</w:t>
      </w:r>
      <w:r>
        <w:rPr>
          <w:rFonts w:cs="Times New Roman" w:ascii="Times New Roman" w:hAnsi="Times New Roman"/>
          <w:b/>
          <w:spacing w:val="-8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pacing w:val="-2"/>
          <w:sz w:val="20"/>
          <w:szCs w:val="20"/>
        </w:rPr>
        <w:t>контролю</w:t>
      </w:r>
    </w:p>
    <w:tbl>
      <w:tblPr>
        <w:tblStyle w:val="TableNormal"/>
        <w:tblW w:w="9748" w:type="dxa"/>
        <w:jc w:val="left"/>
        <w:tblInd w:w="119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2662"/>
        <w:gridCol w:w="1013"/>
        <w:gridCol w:w="1011"/>
        <w:gridCol w:w="1016"/>
        <w:gridCol w:w="1012"/>
        <w:gridCol w:w="1016"/>
        <w:gridCol w:w="1012"/>
        <w:gridCol w:w="1004"/>
      </w:tblGrid>
      <w:tr>
        <w:trPr>
          <w:trHeight w:val="340" w:hRule="atLeast"/>
        </w:trPr>
        <w:tc>
          <w:tcPr>
            <w:tcW w:w="26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50" w:after="0"/>
              <w:ind w:left="82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Види</w:t>
            </w:r>
            <w:r>
              <w:rPr>
                <w:rFonts w:cs="Times New Roman" w:ascii="Times New Roman" w:hAnsi="Times New Roman"/>
                <w:spacing w:val="-7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робіт</w:t>
            </w:r>
          </w:p>
        </w:tc>
        <w:tc>
          <w:tcPr>
            <w:tcW w:w="70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3" w:after="0"/>
              <w:ind w:left="2393" w:right="239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Кількість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набраних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балів</w:t>
            </w:r>
          </w:p>
        </w:tc>
      </w:tr>
      <w:tr>
        <w:trPr>
          <w:trHeight w:val="337" w:hRule="atLeast"/>
        </w:trPr>
        <w:tc>
          <w:tcPr>
            <w:tcW w:w="2662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298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1-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3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18-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24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5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25-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28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29-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32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9" w:right="23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33-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38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5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39-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44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2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45-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50</w:t>
            </w:r>
          </w:p>
        </w:tc>
      </w:tr>
      <w:tr>
        <w:trPr>
          <w:trHeight w:val="340" w:hRule="atLeast"/>
        </w:trPr>
        <w:tc>
          <w:tcPr>
            <w:tcW w:w="2662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5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F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7" w:right="22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FX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E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5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D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C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5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B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A</w:t>
            </w:r>
          </w:p>
        </w:tc>
      </w:tr>
      <w:tr>
        <w:trPr>
          <w:trHeight w:val="340" w:hRule="atLeast"/>
        </w:trPr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Екзаменаційне</w:t>
            </w:r>
            <w:r>
              <w:rPr>
                <w:rFonts w:cs="Times New Roman" w:ascii="Times New Roman" w:hAnsi="Times New Roman"/>
                <w:spacing w:val="-13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питання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1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358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5,6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8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6" w:right="235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9,3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4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10,6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9" w:right="23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12,6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3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14,6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16,6</w:t>
            </w:r>
          </w:p>
        </w:tc>
      </w:tr>
      <w:tr>
        <w:trPr>
          <w:trHeight w:val="340" w:hRule="atLeast"/>
        </w:trPr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Екзаменаційне</w:t>
            </w:r>
            <w:r>
              <w:rPr>
                <w:rFonts w:cs="Times New Roman" w:ascii="Times New Roman" w:hAnsi="Times New Roman"/>
                <w:spacing w:val="-13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питання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2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358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5,6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8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6" w:right="235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9,3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4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10,6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9" w:right="23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12,6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3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14,6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16,6</w:t>
            </w:r>
          </w:p>
        </w:tc>
      </w:tr>
      <w:tr>
        <w:trPr>
          <w:trHeight w:val="340" w:hRule="atLeast"/>
        </w:trPr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Екзаменаційне</w:t>
            </w:r>
            <w:r>
              <w:rPr>
                <w:rFonts w:cs="Times New Roman" w:ascii="Times New Roman" w:hAnsi="Times New Roman"/>
                <w:spacing w:val="-13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питання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3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358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5,6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8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6" w:right="235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9,3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4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10,6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9" w:right="23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12,6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3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14,6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16,6</w:t>
            </w:r>
          </w:p>
        </w:tc>
      </w:tr>
      <w:tr>
        <w:trPr>
          <w:trHeight w:val="460" w:hRule="atLeast"/>
        </w:trPr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107" w:right="432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Максимальна</w:t>
            </w:r>
            <w:r>
              <w:rPr>
                <w:rFonts w:cs="Times New Roman" w:ascii="Times New Roman" w:hAnsi="Times New Roman"/>
                <w:spacing w:val="-14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кількість набраних балів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right="387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left="237" w:right="234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24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left="235" w:right="235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28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left="236" w:right="23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32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left="239" w:right="23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38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left="237" w:right="235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44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left="237" w:right="232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50</w:t>
            </w:r>
          </w:p>
        </w:tc>
      </w:tr>
    </w:tbl>
    <w:p>
      <w:pPr>
        <w:pStyle w:val="Style18"/>
        <w:spacing w:before="10" w:after="0"/>
        <w:ind w:left="0" w:hanging="0"/>
        <w:jc w:val="left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before="0" w:after="4"/>
        <w:ind w:left="932" w:right="866" w:hanging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Таблиця</w:t>
      </w:r>
      <w:r>
        <w:rPr>
          <w:rFonts w:cs="Times New Roman" w:ascii="Times New Roman" w:hAnsi="Times New Roman"/>
          <w:b/>
          <w:spacing w:val="-13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4.</w:t>
      </w:r>
      <w:r>
        <w:rPr>
          <w:rFonts w:cs="Times New Roman" w:ascii="Times New Roman" w:hAnsi="Times New Roman"/>
          <w:b/>
          <w:spacing w:val="-10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Внутрішня</w:t>
      </w:r>
      <w:r>
        <w:rPr>
          <w:rFonts w:cs="Times New Roman" w:ascii="Times New Roman" w:hAnsi="Times New Roman"/>
          <w:b/>
          <w:spacing w:val="-11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університетська</w:t>
      </w:r>
      <w:r>
        <w:rPr>
          <w:rFonts w:cs="Times New Roman" w:ascii="Times New Roman" w:hAnsi="Times New Roman"/>
          <w:b/>
          <w:spacing w:val="-10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шкала</w:t>
      </w:r>
      <w:r>
        <w:rPr>
          <w:rFonts w:cs="Times New Roman" w:ascii="Times New Roman" w:hAnsi="Times New Roman"/>
          <w:b/>
          <w:spacing w:val="-12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pacing w:val="-2"/>
          <w:sz w:val="20"/>
          <w:szCs w:val="20"/>
        </w:rPr>
        <w:t>оцінювання</w:t>
      </w:r>
    </w:p>
    <w:tbl>
      <w:tblPr>
        <w:tblStyle w:val="TableNormal"/>
        <w:tblW w:w="9609" w:type="dxa"/>
        <w:jc w:val="left"/>
        <w:tblInd w:w="119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644"/>
        <w:gridCol w:w="4964"/>
      </w:tblGrid>
      <w:tr>
        <w:trPr>
          <w:trHeight w:val="34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633" w:right="633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Оцінка</w:t>
            </w:r>
            <w:r>
              <w:rPr>
                <w:rFonts w:cs="Times New Roman" w:ascii="Times New Roman" w:hAnsi="Times New Roman"/>
                <w:spacing w:val="-13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університетською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шкалою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414" w:right="40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Оцінка</w:t>
            </w:r>
            <w:r>
              <w:rPr>
                <w:rFonts w:cs="Times New Roman" w:ascii="Times New Roman" w:hAnsi="Times New Roman"/>
                <w:spacing w:val="-9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шкалою</w:t>
            </w:r>
            <w:r>
              <w:rPr>
                <w:rFonts w:cs="Times New Roman" w:ascii="Times New Roman" w:hAnsi="Times New Roman"/>
                <w:spacing w:val="-6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ЄКТС</w:t>
            </w:r>
          </w:p>
        </w:tc>
      </w:tr>
      <w:tr>
        <w:trPr>
          <w:trHeight w:val="283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4" w:after="0"/>
              <w:ind w:left="633" w:right="6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90-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100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4" w:after="0"/>
              <w:ind w:left="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A</w:t>
            </w:r>
          </w:p>
        </w:tc>
      </w:tr>
      <w:tr>
        <w:trPr>
          <w:trHeight w:val="282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6" w:after="0"/>
              <w:ind w:left="633" w:right="6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78-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89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6" w:after="0"/>
              <w:ind w:left="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B</w:t>
            </w:r>
          </w:p>
        </w:tc>
      </w:tr>
      <w:tr>
        <w:trPr>
          <w:trHeight w:val="285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6" w:after="0"/>
              <w:ind w:left="633" w:right="6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65-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77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6" w:after="0"/>
              <w:ind w:left="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C</w:t>
            </w:r>
          </w:p>
        </w:tc>
      </w:tr>
      <w:tr>
        <w:trPr>
          <w:trHeight w:val="282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3" w:after="0"/>
              <w:ind w:left="633" w:right="6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58-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64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3" w:after="0"/>
              <w:ind w:left="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D</w:t>
            </w:r>
          </w:p>
        </w:tc>
      </w:tr>
      <w:tr>
        <w:trPr>
          <w:trHeight w:val="282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3" w:after="0"/>
              <w:ind w:left="633" w:right="6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50-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57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3" w:after="0"/>
              <w:ind w:left="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E</w:t>
            </w:r>
          </w:p>
        </w:tc>
      </w:tr>
      <w:tr>
        <w:trPr>
          <w:trHeight w:val="282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3" w:after="0"/>
              <w:ind w:left="633" w:right="6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35-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49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3" w:after="0"/>
              <w:ind w:left="414" w:right="41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FX</w:t>
            </w:r>
            <w:r>
              <w:rPr>
                <w:rFonts w:cs="Times New Roman" w:ascii="Times New Roman" w:hAnsi="Times New Roman"/>
                <w:spacing w:val="-7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(з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можливістю</w:t>
            </w:r>
            <w:r>
              <w:rPr>
                <w:rFonts w:cs="Times New Roman" w:ascii="Times New Roman" w:hAnsi="Times New Roman"/>
                <w:spacing w:val="-7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повторного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складання)</w:t>
            </w:r>
          </w:p>
        </w:tc>
      </w:tr>
      <w:tr>
        <w:trPr>
          <w:trHeight w:val="282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3" w:after="0"/>
              <w:ind w:left="633" w:right="6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1-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34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3" w:after="0"/>
              <w:ind w:left="414" w:right="414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F</w:t>
            </w:r>
            <w:r>
              <w:rPr>
                <w:rFonts w:cs="Times New Roman" w:ascii="Times New Roman" w:hAnsi="Times New Roman"/>
                <w:spacing w:val="-9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(з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обов’язковим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повторним</w:t>
            </w:r>
            <w:r>
              <w:rPr>
                <w:rFonts w:cs="Times New Roman" w:ascii="Times New Roman" w:hAnsi="Times New Roman"/>
                <w:spacing w:val="-9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вивченням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ОК)</w:t>
            </w:r>
          </w:p>
        </w:tc>
      </w:tr>
    </w:tbl>
    <w:p>
      <w:pPr>
        <w:pStyle w:val="Normal"/>
        <w:spacing w:lineRule="exact" w:line="229"/>
        <w:ind w:left="932" w:right="5815" w:hanging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Список</w:t>
      </w:r>
      <w:r>
        <w:rPr>
          <w:rFonts w:cs="Times New Roman" w:ascii="Times New Roman" w:hAnsi="Times New Roman"/>
          <w:b/>
          <w:spacing w:val="-14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рекомендованих</w:t>
      </w:r>
      <w:r>
        <w:rPr>
          <w:rFonts w:cs="Times New Roman" w:ascii="Times New Roman" w:hAnsi="Times New Roman"/>
          <w:b/>
          <w:spacing w:val="-13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pacing w:val="-2"/>
          <w:sz w:val="20"/>
          <w:szCs w:val="20"/>
        </w:rPr>
        <w:t>джерел:</w:t>
      </w:r>
    </w:p>
    <w:p>
      <w:pPr>
        <w:pStyle w:val="Normal"/>
        <w:ind w:left="932" w:right="855" w:hanging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0"/>
        </w:numPr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Основні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 xml:space="preserve">Барбашова І. Дидактика : навч. посіб. 3-тє вид., оновлене та виправлене. Мелітополь : Видавничий будинок міської друкарні, 2022. 237 с.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>Барбашова І. Основи педагогіки : навч. посіб. 3-тє вид., оновлене та виправлене. Мелітополь : Видавничий будинок міської друкарні, 2022. 130 с.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Бех І. Д. Виховання. </w:t>
      </w:r>
      <w:r>
        <w:rPr>
          <w:rFonts w:eastAsia="Times New Roman" w:cs="Times New Roman" w:ascii="Times New Roman" w:hAnsi="Times New Roman"/>
          <w:i/>
        </w:rPr>
        <w:t xml:space="preserve">Енциклопедія освіти </w:t>
      </w:r>
      <w:r>
        <w:rPr>
          <w:rFonts w:eastAsia="Times New Roman" w:cs="Times New Roman" w:ascii="Times New Roman" w:hAnsi="Times New Roman"/>
        </w:rPr>
        <w:t xml:space="preserve">/ НАПН України ; гол. ред. В. Г. Кремень. 2-ге вид., допов. та перероб. Київ : Юрінком Інтер, 2021. С. 114–515.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Бойко А. М. Особистість. </w:t>
      </w:r>
      <w:r>
        <w:rPr>
          <w:rFonts w:eastAsia="Times New Roman" w:cs="Times New Roman" w:ascii="Times New Roman" w:hAnsi="Times New Roman"/>
          <w:i/>
        </w:rPr>
        <w:t xml:space="preserve">Енциклопедія освіти </w:t>
      </w:r>
      <w:r>
        <w:rPr>
          <w:rFonts w:eastAsia="Times New Roman" w:cs="Times New Roman" w:ascii="Times New Roman" w:hAnsi="Times New Roman"/>
        </w:rPr>
        <w:t>/ НАПН України ; гол. ред. В. Г. Кремень. 2-ге вид., допов. та перероб. Київ : Юрінком Інтер, 2021. С. 693–694.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Бондар В. І. Закони та закономірності освіти і навчання. </w:t>
      </w:r>
      <w:r>
        <w:rPr>
          <w:rFonts w:eastAsia="Times New Roman" w:cs="Times New Roman" w:ascii="Times New Roman" w:hAnsi="Times New Roman"/>
          <w:i/>
        </w:rPr>
        <w:t>Енциклопедія освіти</w:t>
      </w:r>
      <w:r>
        <w:rPr>
          <w:rFonts w:eastAsia="Times New Roman" w:cs="Times New Roman" w:ascii="Times New Roman" w:hAnsi="Times New Roman"/>
        </w:rPr>
        <w:t xml:space="preserve"> / НАПН України ; гол. ред. В. Г. Кремень. 2-ге вид., допов. та перероб. Київ : Юрінком Інтер, 2021. С. 351–352.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>Задорожна-Княгницька Л. В., Тимофєєва І. Б. Загальні основи педагогіки : навч. посіб. Херсон : ОЛДІ-ПЛЮС, 2020. С. 16–52.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Ковтунець В. В. Освітній процес. </w:t>
      </w:r>
      <w:r>
        <w:rPr>
          <w:rFonts w:eastAsia="Times New Roman" w:cs="Times New Roman" w:ascii="Times New Roman" w:hAnsi="Times New Roman"/>
          <w:i/>
        </w:rPr>
        <w:t>Енциклопедія освіти /</w:t>
      </w:r>
      <w:r>
        <w:rPr>
          <w:rFonts w:eastAsia="Times New Roman" w:cs="Times New Roman" w:ascii="Times New Roman" w:hAnsi="Times New Roman"/>
        </w:rPr>
        <w:t xml:space="preserve"> НАПН України ; гол. ред. В. Г. Кремень. 2-ге вид., допов. та перероб. Київ : Юрінком Інтер, 2021. С. 681.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Конституція України. URL: </w:t>
      </w:r>
      <w:r>
        <w:fldChar w:fldCharType="begin"/>
      </w:r>
      <w:r>
        <w:rPr>
          <w:u w:val="single"/>
          <w:rFonts w:eastAsia="Times New Roman" w:cs="Times New Roman" w:ascii="Times New Roman" w:hAnsi="Times New Roman"/>
          <w:color w:val="1155CC"/>
        </w:rPr>
        <w:instrText xml:space="preserve"> HYPERLINK "https://zakon.rada.gov.ua/laws/show/254к/96-вр" \l "Tex"</w:instrTex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separate"/>
      </w:r>
      <w:r>
        <w:rPr>
          <w:rFonts w:eastAsia="Times New Roman" w:cs="Times New Roman" w:ascii="Times New Roman" w:hAnsi="Times New Roman"/>
          <w:color w:val="1155CC"/>
          <w:u w:val="single"/>
        </w:rPr>
        <w:t>https://zakon.rada.gov.ua/laws/show/254к/96-вр#Tex</w: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end"/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Концепція національно-патріотичного виховання в системі освіти України : Наказ МОН України від 29.07.2019 № 1038. URL: </w:t>
      </w:r>
      <w:hyperlink r:id="rId5">
        <w:r>
          <w:rPr>
            <w:rFonts w:eastAsia="Times New Roman" w:cs="Times New Roman" w:ascii="Times New Roman" w:hAnsi="Times New Roman"/>
            <w:color w:val="1155CC"/>
            <w:u w:val="single"/>
          </w:rPr>
          <w:t>https://mon.gov.ua/storage/app/uploads/public/5d5/279/7ca/5d52797ca746c359374718.pdf</w:t>
        </w:r>
      </w:hyperlink>
      <w:r>
        <w:rPr>
          <w:rFonts w:eastAsia="Times New Roman" w:cs="Times New Roman" w:ascii="Times New Roman" w:hAnsi="Times New Roman"/>
        </w:rPr>
        <w:t>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>Нова українська школа: порадник для вчителя / під заг. ред. Бібік Н. М. Київ : Літера ЛТД, 2019. 208 с.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вищу освіту: Закон України від 25.09.2020 № 1556-VII. URL: </w:t>
      </w:r>
      <w:r>
        <w:fldChar w:fldCharType="begin"/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instrText xml:space="preserve"> HYPERLINK "https://zakon.rada.gov.ua/laws/show/1556-18" \l "Text"</w:instrTex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separate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0"/>
          <w:sz w:val="20"/>
          <w:szCs w:val="20"/>
          <w:u w:val="single"/>
          <w:shd w:fill="auto" w:val="clear"/>
          <w:vertAlign w:val="baseline"/>
        </w:rPr>
        <w:t>https://zakon.rada.gov.ua/laws/show/1556-18#Text</w: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end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освіту: Закон України від 01.01.2021 № 2145-VIII. URL: </w:t>
      </w:r>
      <w:r>
        <w:fldChar w:fldCharType="begin"/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instrText xml:space="preserve"> HYPERLINK "https://zakon.rada.gov.ua/laws/show/2145-19" \l "Text"</w:instrTex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separate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0"/>
          <w:sz w:val="20"/>
          <w:szCs w:val="20"/>
          <w:u w:val="single"/>
          <w:shd w:fill="auto" w:val="clear"/>
          <w:vertAlign w:val="baseline"/>
        </w:rPr>
        <w:t>https://zakon.rada.gov.ua/laws/show/2145-19#Text</w: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end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повну загальну середню освіту: Закон України від 01.08.2020 № 463-IX. URL: </w:t>
      </w:r>
      <w:hyperlink r:id="rId6">
        <w:r>
          <w:rPr>
            <w:rFonts w:eastAsia="Times New Roman" w:cs="Times New Roman" w:ascii="Times New Roman" w:hAnsi="Times New Roman"/>
            <w:b w:val="false"/>
            <w:i w:val="false"/>
            <w:caps w:val="false"/>
            <w:smallCaps w:val="false"/>
            <w:strike w:val="false"/>
            <w:dstrike w:val="false"/>
            <w:color w:val="0000FF"/>
            <w:position w:val="0"/>
            <w:sz w:val="20"/>
            <w:sz w:val="20"/>
            <w:szCs w:val="20"/>
            <w:u w:val="single"/>
            <w:shd w:fill="auto" w:val="clear"/>
            <w:vertAlign w:val="baseline"/>
          </w:rPr>
          <w:t>https://zakon.rada.gov.ua/laws/show/463-20</w:t>
        </w:r>
      </w:hyperlink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позашкільну освіту: Закон України від 16.10.2020 № 1841-ІІІ. URL: </w:t>
      </w:r>
      <w:r>
        <w:fldChar w:fldCharType="begin"/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instrText xml:space="preserve"> HYPERLINK "https://zakon.rada.gov.ua/laws/show/1841-14" \l "Text"</w:instrTex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separate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0"/>
          <w:sz w:val="20"/>
          <w:szCs w:val="20"/>
          <w:u w:val="single"/>
          <w:shd w:fill="auto" w:val="clear"/>
          <w:vertAlign w:val="baseline"/>
        </w:rPr>
        <w:t>https://zakon.rada.gov.ua/laws/show/1841-14#Text</w: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end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професійну (професійно-технічну) освіту: Закон України від 01.01.2021 № 103/98 ВР. URL: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https://zakon.rada.gov.ua/laws/show/103/98-вр#Text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 xml:space="preserve">Про схвалення Концепції реалізації державної політики у сфері реформування загальної середньої освіти “Нова українська школа” на період до 2029 року : Розпорядження КМ України від 22.08.2018 № 988-р. URL: </w:t>
      </w:r>
      <w:r>
        <w:fldChar w:fldCharType="begin"/>
      </w:r>
      <w:r>
        <w:rPr>
          <w:u w:val="single"/>
          <w:rFonts w:eastAsia="Times New Roman" w:cs="Times New Roman" w:ascii="Times New Roman" w:hAnsi="Times New Roman"/>
          <w:color w:val="1155CC"/>
        </w:rPr>
        <w:instrText xml:space="preserve"> HYPERLINK "https://zakon.rada.gov.ua/laws/show/988-2016-p" \l "Text"</w:instrTex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separate"/>
      </w:r>
      <w:r>
        <w:rPr>
          <w:rFonts w:eastAsia="Times New Roman" w:cs="Times New Roman" w:ascii="Times New Roman" w:hAnsi="Times New Roman"/>
          <w:color w:val="1155CC"/>
          <w:u w:val="single"/>
        </w:rPr>
        <w:t>https://zakon.rada.gov.ua/laws/show/988-2016-p#Text</w: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end"/>
      </w:r>
      <w:r>
        <w:rPr>
          <w:rFonts w:eastAsia="Times New Roman" w:cs="Times New Roman" w:ascii="Times New Roman" w:hAnsi="Times New Roman"/>
        </w:rPr>
        <w:t xml:space="preserve"> (дата звернення: 25.08.2023)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Про схвалення Концепції розвитку громадянської освіти в Україні : Розпорядження КМ України від 26.02.2020 № 710- 2018-р. URL: </w:t>
      </w:r>
      <w:r>
        <w:fldChar w:fldCharType="begin"/>
      </w:r>
      <w:r>
        <w:rPr>
          <w:u w:val="single"/>
          <w:rFonts w:eastAsia="Times New Roman" w:cs="Times New Roman" w:ascii="Times New Roman" w:hAnsi="Times New Roman"/>
          <w:color w:val="1155CC"/>
        </w:rPr>
        <w:instrText xml:space="preserve"> HYPERLINK "https://zakon.rada.gov.ua/laws/show/710-2018-р" \l "Text"</w:instrTex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separate"/>
      </w:r>
      <w:r>
        <w:rPr>
          <w:rFonts w:eastAsia="Times New Roman" w:cs="Times New Roman" w:ascii="Times New Roman" w:hAnsi="Times New Roman"/>
          <w:color w:val="1155CC"/>
          <w:u w:val="single"/>
        </w:rPr>
        <w:t>https://zakon.rada.gov.ua/laws/show/710-2018-%D1%80#Text</w: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end"/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1"/>
        </w:numPr>
        <w:shd w:val="clear" w:fill="auto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фахову передвищу освіту: Закон України від 20.03.2020 № 2745-VIII. URL: </w:t>
      </w:r>
      <w:hyperlink r:id="rId7">
        <w:r>
          <w:rPr>
            <w:rFonts w:eastAsia="Times New Roman" w:cs="Times New Roman" w:ascii="Times New Roman" w:hAnsi="Times New Roman"/>
            <w:b w:val="false"/>
            <w:i w:val="false"/>
            <w:caps w:val="false"/>
            <w:smallCaps w:val="false"/>
            <w:strike w:val="false"/>
            <w:dstrike w:val="false"/>
            <w:color w:val="0000FF"/>
            <w:position w:val="0"/>
            <w:sz w:val="20"/>
            <w:sz w:val="20"/>
            <w:szCs w:val="20"/>
            <w:u w:val="single"/>
            <w:shd w:fill="auto" w:val="clear"/>
            <w:vertAlign w:val="baseline"/>
          </w:rPr>
          <w:t>https://zakon.rada.gov.ua/laws/show/2745-19</w:t>
        </w:r>
      </w:hyperlink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 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1"/>
        </w:numPr>
        <w:shd w:val="clear" w:fill="auto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Савченко О. Я., Лозова В. І. Дидактика. Енциклопедія освіти / НАПН України ; гол. ред. В. Г. Кремень. 2-ге вид., допов. та перероб. Київ : Юрінком Інтер, 2021. С. 219–221. 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1"/>
        </w:numPr>
        <w:shd w:val="clear" w:fill="auto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>Сергєєнкова О., Столярчук О., Коханова О. Вікова психологія : навч. посіб. Київ : Центр навчальної літератури, 2020. 376 с.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1"/>
        </w:numPr>
        <w:shd w:val="clear" w:fill="auto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>Сікорський П. І. Нова педагогіка : підручник. Львів : Вид-во Львівської політехніки, 2021. 540 с.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1"/>
        </w:numPr>
        <w:shd w:val="clear" w:fill="auto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highlight w:val="white"/>
        </w:rPr>
        <w:t xml:space="preserve">Спілкування в педагогічному процесі : навч. посіб. / Гарькавець С. О., Волченко Л. П. Житомир : ТОВ “Видавничий дім “Бук-Друк””, 2021, 100 с. 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1"/>
        </w:numPr>
        <w:shd w:val="clear" w:fill="auto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>Топузов О. М. Освітнє партнерство в системі загальної середньої освіти: теорія і методологія : монографія. Київ : Інститут педагогіки : Педагогічна думка, 2021. 160  с.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bookmarkStart w:id="0" w:name="_heading=h.30j0zll"/>
      <w:bookmarkEnd w:id="0"/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Хмельницька О. С. Педагогіка. Історія педагогіки: навч.-метод. посіб. Переяслав : Домбровська Я.М., 2021. 222 с.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1"/>
        </w:numPr>
        <w:shd w:val="clear" w:fill="FFFFFF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Щербакова Н. Педагогіка: навч.-метод. посіб. Мелітополь: Видавничий будинок Мелітопольської міської друкарні., 2021. 273 с.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0"/>
        </w:numPr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Додаткові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 xml:space="preserve">Енциклопедія освіти / НАПН України ; гол. ред. В. Г. Кремень. 2-ге вид., допов. та перероб. Київ : Юрінком Інтер, 2021. 1144 с.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 xml:space="preserve">Козубовська І. В., Повідайчик О. С. Короткий тлумачний словник психолого-педагогічних термінів. Ужгород : Видавництво УжНУ “Говерла”, 2021. 41 с.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>Приходько Ю. О., Юрченко В. І. Психологічний словникдовідник : навч. посіб. 4-те вид., випр. і допов. Київ : Каравела, 2020. 418 c.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>Словник термінів і понять сучасної освіти / за заг. ред. Л. М. Михайлової. Сєвєродонецьк, 2020. 194 с.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0"/>
        </w:numPr>
        <w:shd w:val="clear" w:fill="auto"/>
        <w:tabs>
          <w:tab w:val="clear" w:pos="720"/>
          <w:tab w:val="left" w:pos="365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Інформаційні ресурси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1"/>
        </w:numPr>
        <w:shd w:val="clear" w:fill="auto"/>
        <w:tabs>
          <w:tab w:val="clear" w:pos="720"/>
          <w:tab w:val="left" w:pos="-5812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Бібліотека БДПУ. URL: </w:t>
      </w:r>
      <w:hyperlink r:id="rId8">
        <w:r>
          <w:rPr>
            <w:rFonts w:eastAsia="Times New Roman" w:cs="Times New Roman" w:ascii="Times New Roman" w:hAnsi="Times New Roman"/>
            <w:b w:val="false"/>
            <w:i w:val="false"/>
            <w:caps w:val="false"/>
            <w:smallCaps w:val="false"/>
            <w:strike w:val="false"/>
            <w:dstrike w:val="false"/>
            <w:color w:val="0000FF"/>
            <w:position w:val="0"/>
            <w:sz w:val="20"/>
            <w:sz w:val="20"/>
            <w:szCs w:val="20"/>
            <w:u w:val="single"/>
            <w:shd w:fill="auto" w:val="clear"/>
            <w:vertAlign w:val="baseline"/>
          </w:rPr>
          <w:t>www.bdpu.org/library</w:t>
        </w:r>
      </w:hyperlink>
    </w:p>
    <w:p>
      <w:pPr>
        <w:pStyle w:val="LOnormal"/>
        <w:keepNext w:val="false"/>
        <w:keepLines w:val="false"/>
        <w:widowControl w:val="false"/>
        <w:numPr>
          <w:ilvl w:val="0"/>
          <w:numId w:val="1"/>
        </w:numPr>
        <w:shd w:val="clear" w:fill="auto"/>
        <w:tabs>
          <w:tab w:val="clear" w:pos="720"/>
          <w:tab w:val="left" w:pos="-5812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Національна бібліотека України імені В. І. Вернадського. URL: </w:t>
      </w:r>
      <w:hyperlink r:id="rId9">
        <w:r>
          <w:rPr>
            <w:rFonts w:eastAsia="Times New Roman" w:cs="Times New Roman" w:ascii="Times New Roman" w:hAnsi="Times New Roman"/>
            <w:b w:val="false"/>
            <w:i w:val="false"/>
            <w:caps w:val="false"/>
            <w:smallCaps w:val="false"/>
            <w:strike w:val="false"/>
            <w:dstrike w:val="false"/>
            <w:color w:val="0000FF"/>
            <w:position w:val="0"/>
            <w:sz w:val="20"/>
            <w:sz w:val="20"/>
            <w:szCs w:val="20"/>
            <w:u w:val="single"/>
            <w:shd w:fill="auto" w:val="clear"/>
            <w:vertAlign w:val="baseline"/>
          </w:rPr>
          <w:t>http://www.nbuv.gov.ua</w:t>
        </w:r>
      </w:hyperlink>
    </w:p>
    <w:p>
      <w:pPr>
        <w:pStyle w:val="Normal"/>
        <w:spacing w:lineRule="exact" w:line="226"/>
        <w:ind w:left="3966" w:hanging="0"/>
        <w:jc w:val="both"/>
        <w:rPr>
          <w:rFonts w:ascii="Times New Roman" w:hAnsi="Times New Roman" w:cs="Times New Roman"/>
          <w:sz w:val="20"/>
          <w:szCs w:val="20"/>
        </w:rPr>
      </w:pPr>
      <w:r>
        <w:rPr/>
      </w:r>
    </w:p>
    <w:sectPr>
      <w:footerReference w:type="default" r:id="rId10"/>
      <w:type w:val="nextPage"/>
      <w:pgSz w:w="12240" w:h="15840"/>
      <w:pgMar w:left="1480" w:right="700" w:gutter="0" w:header="0" w:top="1060" w:footer="1317" w:bottom="156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Arial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yle18"/>
      <w:spacing w:lineRule="auto" w:line="2"/>
      <w:ind w:left="0" w:hanging="0"/>
      <w:jc w:val="left"/>
      <w:rPr>
        <w:sz w:val="18"/>
      </w:rPr>
    </w:pPr>
    <w:r>
      <w:rPr>
        <w:sz w:val="18"/>
      </w:rPr>
      <mc:AlternateContent>
        <mc:Choice Requires="wps">
          <w:drawing>
            <wp:anchor behindDoc="1" distT="0" distB="0" distL="0" distR="0" simplePos="0" locked="0" layoutInCell="0" allowOverlap="1" relativeHeight="14">
              <wp:simplePos x="0" y="0"/>
              <wp:positionH relativeFrom="page">
                <wp:posOffset>4086860</wp:posOffset>
              </wp:positionH>
              <wp:positionV relativeFrom="page">
                <wp:posOffset>9053195</wp:posOffset>
              </wp:positionV>
              <wp:extent cx="153035" cy="166370"/>
              <wp:effectExtent l="0" t="0" r="0" b="0"/>
              <wp:wrapNone/>
              <wp:docPr id="2" name="Врезка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30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18"/>
                            <w:spacing w:before="10" w:after="0"/>
                            <w:ind w:left="60" w:hanging="0"/>
                            <w:jc w:val="left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Fonts w:ascii="Times New Roman" w:hAnsi="Times New Roman"/>
                              <w:color w:val="000000"/>
                              <w:w w:val="99"/>
                            </w:rPr>
                            <w:fldChar w:fldCharType="begin"/>
                          </w:r>
                          <w:r>
                            <w:rPr>
                              <w:w w:val="99"/>
                              <w:rFonts w:ascii="Times New Roman" w:hAnsi="Times New Roman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w w:val="99"/>
                              <w:rFonts w:ascii="Times New Roman" w:hAnsi="Times New Roman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w w:val="99"/>
                              <w:rFonts w:ascii="Times New Roman" w:hAnsi="Times New Roman"/>
                              <w:color w:val="000000"/>
                            </w:rPr>
                            <w:t>8</w:t>
                          </w:r>
                          <w:r>
                            <w:rPr>
                              <w:w w:val="99"/>
                              <w:rFonts w:ascii="Times New Roman" w:hAnsi="Times New Roman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Врезка5" path="m0,0l-2147483645,0l-2147483645,-2147483646l0,-2147483646xe" stroked="f" o:allowincell="f" style="position:absolute;margin-left:321.8pt;margin-top:712.85pt;width:12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Style18"/>
                      <w:spacing w:before="10" w:after="0"/>
                      <w:ind w:left="60" w:hanging="0"/>
                      <w:jc w:val="left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 w:hAnsi="Times New Roman"/>
                        <w:color w:val="000000"/>
                        <w:w w:val="99"/>
                      </w:rPr>
                      <w:fldChar w:fldCharType="begin"/>
                    </w:r>
                    <w:r>
                      <w:rPr>
                        <w:w w:val="99"/>
                        <w:rFonts w:ascii="Times New Roman" w:hAnsi="Times New Roman"/>
                        <w:color w:val="000000"/>
                      </w:rPr>
                      <w:instrText xml:space="preserve"> PAGE </w:instrText>
                    </w:r>
                    <w:r>
                      <w:rPr>
                        <w:w w:val="99"/>
                        <w:rFonts w:ascii="Times New Roman" w:hAnsi="Times New Roman"/>
                        <w:color w:val="000000"/>
                      </w:rPr>
                      <w:fldChar w:fldCharType="separate"/>
                    </w:r>
                    <w:r>
                      <w:rPr>
                        <w:w w:val="99"/>
                        <w:rFonts w:ascii="Times New Roman" w:hAnsi="Times New Roman"/>
                        <w:color w:val="000000"/>
                      </w:rPr>
                      <w:t>8</w:t>
                    </w:r>
                    <w:r>
                      <w:rPr>
                        <w:w w:val="99"/>
                        <w:rFonts w:ascii="Times New Roman" w:hAnsi="Times New Roman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942" w:hanging="360"/>
      </w:pPr>
      <w:rPr>
        <w:sz w:val="20"/>
        <w:spacing w:val="-1"/>
        <w:i w:val="false"/>
        <w:b w:val="false"/>
        <w:szCs w:val="20"/>
        <w:iCs w:val="false"/>
        <w:bCs w:val="false"/>
        <w:w w:val="99"/>
        <w:rFonts w:ascii="Arial" w:hAnsi="Arial" w:eastAsia="Arial" w:cs="Arial"/>
        <w:lang w:val="uk-UA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852" w:hanging="360"/>
      </w:pPr>
      <w:rPr>
        <w:rFonts w:ascii="Symbol" w:hAnsi="Symbol" w:cs="Symbol" w:hint="default"/>
        <w:lang w:val="uk-UA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764" w:hanging="360"/>
      </w:pPr>
      <w:rPr>
        <w:rFonts w:ascii="Symbol" w:hAnsi="Symbol" w:cs="Symbol" w:hint="default"/>
        <w:lang w:val="uk-UA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676" w:hanging="360"/>
      </w:pPr>
      <w:rPr>
        <w:rFonts w:ascii="Symbol" w:hAnsi="Symbol" w:cs="Symbol" w:hint="default"/>
        <w:lang w:val="uk-UA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588" w:hanging="360"/>
      </w:pPr>
      <w:rPr>
        <w:rFonts w:ascii="Symbol" w:hAnsi="Symbol" w:cs="Symbol" w:hint="default"/>
        <w:lang w:val="uk-UA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500" w:hanging="360"/>
      </w:pPr>
      <w:rPr>
        <w:rFonts w:ascii="Symbol" w:hAnsi="Symbol" w:cs="Symbol" w:hint="default"/>
        <w:lang w:val="uk-UA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412" w:hanging="360"/>
      </w:pPr>
      <w:rPr>
        <w:rFonts w:ascii="Symbol" w:hAnsi="Symbol" w:cs="Symbol" w:hint="default"/>
        <w:lang w:val="uk-UA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24" w:hanging="360"/>
      </w:pPr>
      <w:rPr>
        <w:rFonts w:ascii="Symbol" w:hAnsi="Symbol" w:cs="Symbol" w:hint="default"/>
        <w:lang w:val="uk-UA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236" w:hanging="360"/>
      </w:pPr>
      <w:rPr>
        <w:rFonts w:ascii="Symbol" w:hAnsi="Symbol" w:cs="Symbol" w:hint="default"/>
        <w:lang w:val="uk-UA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uk-UA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Интернет-ссылка"/>
    <w:qFormat/>
    <w:rPr>
      <w:color w:val="000080"/>
      <w:u w:val="single"/>
    </w:rPr>
  </w:style>
  <w:style w:type="character" w:styleId="Style15" w:customStyle="1">
    <w:name w:val="Текст выноски Знак"/>
    <w:basedOn w:val="DefaultParagraphFont"/>
    <w:link w:val="BalloonText"/>
    <w:uiPriority w:val="99"/>
    <w:semiHidden/>
    <w:qFormat/>
    <w:rsid w:val="00735b47"/>
    <w:rPr>
      <w:rFonts w:ascii="Tahoma" w:hAnsi="Tahoma" w:eastAsia="Arial" w:cs="Tahoma"/>
      <w:sz w:val="16"/>
      <w:szCs w:val="16"/>
      <w:lang w:val="uk-UA"/>
    </w:rPr>
  </w:style>
  <w:style w:type="character" w:styleId="Style16">
    <w:name w:val="Hyperlink"/>
    <w:basedOn w:val="DefaultParagraphFont"/>
    <w:uiPriority w:val="99"/>
    <w:unhideWhenUsed/>
    <w:rsid w:val="00975905"/>
    <w:rPr>
      <w:color w:val="0000FF" w:themeColor="hyperlink"/>
      <w:u w:val="single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8">
    <w:name w:val="Body Text"/>
    <w:basedOn w:val="Normal"/>
    <w:uiPriority w:val="1"/>
    <w:qFormat/>
    <w:pPr>
      <w:ind w:left="222" w:firstLine="707"/>
      <w:jc w:val="both"/>
    </w:pPr>
    <w:rPr>
      <w:sz w:val="20"/>
      <w:szCs w:val="20"/>
    </w:rPr>
  </w:style>
  <w:style w:type="paragraph" w:styleId="Style19">
    <w:name w:val="List"/>
    <w:basedOn w:val="Style18"/>
    <w:pPr/>
    <w:rPr>
      <w:rFonts w:cs="Lucida Sans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1">
    <w:name w:val="Покажчик"/>
    <w:basedOn w:val="Normal"/>
    <w:qFormat/>
    <w:pPr>
      <w:suppressLineNumbers/>
    </w:pPr>
    <w:rPr>
      <w:rFonts w:cs="Arial"/>
      <w:lang w:val="zxx" w:eastAsia="zxx" w:bidi="zxx"/>
    </w:rPr>
  </w:style>
  <w:style w:type="paragraph" w:styleId="1" w:customStyle="1">
    <w:name w:val="Заголовок1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pPr>
      <w:ind w:left="941" w:hanging="360"/>
      <w:jc w:val="both"/>
    </w:pPr>
    <w:rPr/>
  </w:style>
  <w:style w:type="paragraph" w:styleId="TableParagraph" w:customStyle="1">
    <w:name w:val="Table Paragraph"/>
    <w:basedOn w:val="Normal"/>
    <w:uiPriority w:val="1"/>
    <w:qFormat/>
    <w:pPr>
      <w:spacing w:before="52" w:after="0"/>
      <w:jc w:val="center"/>
    </w:pPr>
    <w:rPr/>
  </w:style>
  <w:style w:type="paragraph" w:styleId="Style22" w:customStyle="1">
    <w:name w:val="Верхний и нижний колонтитулы"/>
    <w:basedOn w:val="Normal"/>
    <w:qFormat/>
    <w:pPr/>
    <w:rPr/>
  </w:style>
  <w:style w:type="paragraph" w:styleId="Style23">
    <w:name w:val="Верхній і нижній колонтитули"/>
    <w:basedOn w:val="Normal"/>
    <w:qFormat/>
    <w:pPr/>
    <w:rPr/>
  </w:style>
  <w:style w:type="paragraph" w:styleId="Style24">
    <w:name w:val="Footer"/>
    <w:basedOn w:val="Style22"/>
    <w:pPr/>
    <w:rPr/>
  </w:style>
  <w:style w:type="paragraph" w:styleId="Style25" w:customStyle="1">
    <w:name w:val="Содержимое врезки"/>
    <w:basedOn w:val="Normal"/>
    <w:qFormat/>
    <w:pPr/>
    <w:rPr/>
  </w:style>
  <w:style w:type="paragraph" w:styleId="BalloonText">
    <w:name w:val="Balloon Text"/>
    <w:basedOn w:val="Normal"/>
    <w:link w:val="Style15"/>
    <w:uiPriority w:val="99"/>
    <w:semiHidden/>
    <w:unhideWhenUsed/>
    <w:qFormat/>
    <w:rsid w:val="00735b47"/>
    <w:pPr/>
    <w:rPr>
      <w:rFonts w:ascii="Tahoma" w:hAnsi="Tahoma" w:cs="Tahoma"/>
      <w:sz w:val="16"/>
      <w:szCs w:val="16"/>
    </w:rPr>
  </w:style>
  <w:style w:type="paragraph" w:styleId="Style26">
    <w:name w:val="Вміст рамки"/>
    <w:basedOn w:val="Normal"/>
    <w:qFormat/>
    <w:pPr/>
    <w:rPr/>
  </w:style>
  <w:style w:type="paragraph" w:styleId="Default">
    <w:name w:val="Default"/>
    <w:qFormat/>
    <w:pPr>
      <w:widowControl/>
      <w:suppressAutoHyphens w:val="true"/>
      <w:bidi w:val="0"/>
      <w:spacing w:before="0" w:after="0"/>
      <w:jc w:val="left"/>
    </w:pPr>
    <w:rPr>
      <w:rFonts w:ascii="Cambria" w:hAnsi="Cambria" w:eastAsia="Calibri" w:cs=""/>
      <w:color w:val="000000"/>
      <w:kern w:val="0"/>
      <w:sz w:val="24"/>
      <w:szCs w:val="22"/>
      <w:lang w:val="en-US" w:eastAsia="en-US" w:bidi="ar-SA"/>
    </w:rPr>
  </w:style>
  <w:style w:type="paragraph" w:styleId="LOnormal">
    <w:name w:val="LO-normal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Calibri"/>
      <w:color w:val="auto"/>
      <w:kern w:val="0"/>
      <w:sz w:val="20"/>
      <w:szCs w:val="20"/>
      <w:lang w:val="uk-UA" w:eastAsia="zh-CN" w:bidi="hi-I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s://edu.bdpu.org/course/view.php?id=387" TargetMode="External"/><Relationship Id="rId4" Type="http://schemas.openxmlformats.org/officeDocument/2006/relationships/hyperlink" Target="mailto:berdzp@ukr.net" TargetMode="External"/><Relationship Id="rId5" Type="http://schemas.openxmlformats.org/officeDocument/2006/relationships/hyperlink" Target="https://mon.gov.ua/storage/app/uploads/public/5d5/279/7ca/5d52797ca746c359374718.pdf" TargetMode="External"/><Relationship Id="rId6" Type="http://schemas.openxmlformats.org/officeDocument/2006/relationships/hyperlink" Target="https://zakon.rada.gov.ua/laws/show/463-20" TargetMode="External"/><Relationship Id="rId7" Type="http://schemas.openxmlformats.org/officeDocument/2006/relationships/hyperlink" Target="https://zakon.rada.gov.ua/laws/show/2745-19" TargetMode="External"/><Relationship Id="rId8" Type="http://schemas.openxmlformats.org/officeDocument/2006/relationships/hyperlink" Target="http://www.bdpu.org/library" TargetMode="External"/><Relationship Id="rId9" Type="http://schemas.openxmlformats.org/officeDocument/2006/relationships/hyperlink" Target="http://www.nbuv.gov.ua/" TargetMode="External"/><Relationship Id="rId10" Type="http://schemas.openxmlformats.org/officeDocument/2006/relationships/footer" Target="footer1.xml"/><Relationship Id="rId11" Type="http://schemas.openxmlformats.org/officeDocument/2006/relationships/numbering" Target="numbering.xml"/><Relationship Id="rId12" Type="http://schemas.openxmlformats.org/officeDocument/2006/relationships/fontTable" Target="fontTable.xml"/><Relationship Id="rId13" Type="http://schemas.openxmlformats.org/officeDocument/2006/relationships/settings" Target="settings.xml"/><Relationship Id="rId1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Application>LibreOffice/7.4.2.3$Windows_X86_64 LibreOffice_project/382eef1f22670f7f4118c8c2dd222ec7ad009daf</Application>
  <AppVersion>15.0000</AppVersion>
  <Pages>8</Pages>
  <Words>3334</Words>
  <Characters>22773</Characters>
  <CharactersWithSpaces>25635</CharactersWithSpaces>
  <Paragraphs>484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2023-07-20T19:58:00Z</dcterms:created>
  <dc:creator>VIENNA XP</dc:creator>
  <dc:description/>
  <dc:language>en-US</dc:language>
  <cp:lastModifiedBy/>
  <dcterms:modified xsi:type="dcterms:W3CDTF">2024-04-17T22:04:27Z</dcterms:modified>
  <cp:revision>24</cp:revision>
  <dc:subject/>
  <dc:title>Розділ ІІІ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c118722fd4838055f082264644db3271b604e3f52012620627de713e0527d845</vt:lpwstr>
  </property>
</Properties>
</file>